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黑体" w:hAnsi="黑体" w:eastAsia="黑体" w:cs="黑体"/>
          <w:sz w:val="44"/>
          <w:szCs w:val="44"/>
        </w:rPr>
      </w:pPr>
      <w:bookmarkStart w:id="0" w:name="_GoBack"/>
      <w:r>
        <w:rPr>
          <w:rFonts w:hint="eastAsia" w:ascii="黑体" w:hAnsi="黑体" w:eastAsia="黑体" w:cs="黑体"/>
          <w:sz w:val="44"/>
          <w:szCs w:val="44"/>
        </w:rPr>
        <w:t>东北大学实验室危险废弃物安全检查规范（试行）</w:t>
      </w:r>
      <w:bookmarkEnd w:id="0"/>
    </w:p>
    <w:tbl>
      <w:tblPr>
        <w:tblStyle w:val="4"/>
        <w:tblW w:w="141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3"/>
        <w:gridCol w:w="1916"/>
        <w:gridCol w:w="6581"/>
        <w:gridCol w:w="1694"/>
        <w:gridCol w:w="790"/>
        <w:gridCol w:w="940"/>
        <w:gridCol w:w="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blHeader/>
        </w:trPr>
        <w:tc>
          <w:tcPr>
            <w:tcW w:w="1273" w:type="dxa"/>
            <w:vMerge w:val="restart"/>
            <w:vAlign w:val="center"/>
          </w:tcPr>
          <w:p>
            <w:pPr>
              <w:jc w:val="center"/>
              <w:rPr>
                <w:rFonts w:ascii="仿宋" w:hAnsi="仿宋" w:eastAsia="仿宋" w:cs="仿宋"/>
                <w:b/>
                <w:bCs/>
                <w:sz w:val="24"/>
                <w:szCs w:val="24"/>
              </w:rPr>
            </w:pPr>
            <w:r>
              <w:rPr>
                <w:rFonts w:hint="eastAsia" w:ascii="仿宋" w:hAnsi="仿宋" w:eastAsia="仿宋" w:cs="仿宋"/>
                <w:b/>
                <w:bCs/>
                <w:color w:val="000000"/>
                <w:sz w:val="24"/>
                <w:szCs w:val="24"/>
              </w:rPr>
              <w:t>一级指标</w:t>
            </w:r>
          </w:p>
        </w:tc>
        <w:tc>
          <w:tcPr>
            <w:tcW w:w="1916" w:type="dxa"/>
            <w:vMerge w:val="restart"/>
            <w:vAlign w:val="center"/>
          </w:tcPr>
          <w:p>
            <w:pPr>
              <w:jc w:val="center"/>
              <w:rPr>
                <w:rFonts w:ascii="仿宋" w:hAnsi="仿宋" w:eastAsia="仿宋" w:cs="仿宋"/>
                <w:b/>
                <w:bCs/>
                <w:sz w:val="24"/>
                <w:szCs w:val="24"/>
              </w:rPr>
            </w:pPr>
            <w:r>
              <w:rPr>
                <w:rFonts w:hint="eastAsia" w:ascii="仿宋" w:hAnsi="仿宋" w:eastAsia="仿宋" w:cs="仿宋"/>
                <w:b/>
                <w:bCs/>
                <w:color w:val="000000"/>
                <w:sz w:val="24"/>
                <w:szCs w:val="24"/>
              </w:rPr>
              <w:t>二级指标</w:t>
            </w:r>
          </w:p>
        </w:tc>
        <w:tc>
          <w:tcPr>
            <w:tcW w:w="6581" w:type="dxa"/>
            <w:vMerge w:val="restart"/>
            <w:vAlign w:val="center"/>
          </w:tcPr>
          <w:p>
            <w:pPr>
              <w:jc w:val="center"/>
              <w:rPr>
                <w:rFonts w:ascii="仿宋" w:hAnsi="仿宋" w:eastAsia="仿宋" w:cs="仿宋"/>
                <w:b/>
                <w:bCs/>
                <w:sz w:val="24"/>
                <w:szCs w:val="24"/>
              </w:rPr>
            </w:pPr>
            <w:r>
              <w:rPr>
                <w:rFonts w:hint="eastAsia" w:ascii="仿宋" w:hAnsi="仿宋" w:eastAsia="仿宋" w:cs="仿宋"/>
                <w:b/>
                <w:bCs/>
                <w:color w:val="000000"/>
                <w:sz w:val="24"/>
                <w:szCs w:val="24"/>
              </w:rPr>
              <w:t>检查项目</w:t>
            </w:r>
          </w:p>
        </w:tc>
        <w:tc>
          <w:tcPr>
            <w:tcW w:w="1694" w:type="dxa"/>
            <w:vMerge w:val="restart"/>
            <w:vAlign w:val="center"/>
          </w:tcPr>
          <w:p>
            <w:pPr>
              <w:jc w:val="center"/>
              <w:rPr>
                <w:rFonts w:ascii="仿宋" w:hAnsi="仿宋" w:eastAsia="仿宋" w:cs="仿宋"/>
                <w:b/>
                <w:bCs/>
                <w:sz w:val="24"/>
                <w:szCs w:val="24"/>
              </w:rPr>
            </w:pPr>
            <w:r>
              <w:rPr>
                <w:rFonts w:hint="eastAsia" w:ascii="仿宋" w:hAnsi="仿宋" w:eastAsia="仿宋" w:cs="仿宋"/>
                <w:b/>
                <w:bCs/>
                <w:color w:val="000000"/>
                <w:sz w:val="24"/>
                <w:szCs w:val="24"/>
              </w:rPr>
              <w:t>检查要点</w:t>
            </w:r>
          </w:p>
        </w:tc>
        <w:tc>
          <w:tcPr>
            <w:tcW w:w="2699" w:type="dxa"/>
            <w:gridSpan w:val="3"/>
          </w:tcPr>
          <w:p>
            <w:pPr>
              <w:jc w:val="center"/>
              <w:rPr>
                <w:rFonts w:ascii="仿宋" w:hAnsi="仿宋" w:eastAsia="仿宋" w:cs="仿宋"/>
                <w:b/>
                <w:bCs/>
                <w:sz w:val="24"/>
                <w:szCs w:val="24"/>
              </w:rPr>
            </w:pPr>
            <w:r>
              <w:rPr>
                <w:rFonts w:hint="eastAsia" w:ascii="仿宋" w:hAnsi="仿宋" w:eastAsia="仿宋" w:cs="仿宋"/>
                <w:b/>
                <w:bCs/>
                <w:color w:val="000000"/>
                <w:sz w:val="24"/>
                <w:szCs w:val="24"/>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blHeader/>
        </w:trPr>
        <w:tc>
          <w:tcPr>
            <w:tcW w:w="1273" w:type="dxa"/>
            <w:vMerge w:val="continue"/>
          </w:tcPr>
          <w:p>
            <w:pPr>
              <w:rPr>
                <w:rFonts w:ascii="仿宋" w:hAnsi="仿宋" w:eastAsia="仿宋" w:cs="仿宋"/>
                <w:b/>
                <w:bCs/>
                <w:sz w:val="24"/>
                <w:szCs w:val="24"/>
              </w:rPr>
            </w:pPr>
          </w:p>
        </w:tc>
        <w:tc>
          <w:tcPr>
            <w:tcW w:w="1916" w:type="dxa"/>
            <w:vMerge w:val="continue"/>
            <w:vAlign w:val="center"/>
          </w:tcPr>
          <w:p>
            <w:pPr>
              <w:rPr>
                <w:rFonts w:ascii="仿宋" w:hAnsi="仿宋" w:eastAsia="仿宋" w:cs="仿宋"/>
                <w:b/>
                <w:bCs/>
                <w:sz w:val="24"/>
                <w:szCs w:val="24"/>
              </w:rPr>
            </w:pPr>
          </w:p>
        </w:tc>
        <w:tc>
          <w:tcPr>
            <w:tcW w:w="6581" w:type="dxa"/>
            <w:vMerge w:val="continue"/>
            <w:vAlign w:val="center"/>
          </w:tcPr>
          <w:p>
            <w:pPr>
              <w:rPr>
                <w:rFonts w:ascii="仿宋" w:hAnsi="仿宋" w:eastAsia="仿宋" w:cs="仿宋"/>
                <w:b/>
                <w:bCs/>
                <w:sz w:val="24"/>
                <w:szCs w:val="24"/>
              </w:rPr>
            </w:pPr>
          </w:p>
        </w:tc>
        <w:tc>
          <w:tcPr>
            <w:tcW w:w="1694" w:type="dxa"/>
            <w:vMerge w:val="continue"/>
          </w:tcPr>
          <w:p>
            <w:pPr>
              <w:rPr>
                <w:rFonts w:ascii="仿宋" w:hAnsi="仿宋" w:eastAsia="仿宋" w:cs="仿宋"/>
                <w:b/>
                <w:bCs/>
                <w:sz w:val="24"/>
                <w:szCs w:val="24"/>
              </w:rPr>
            </w:pPr>
          </w:p>
        </w:tc>
        <w:tc>
          <w:tcPr>
            <w:tcW w:w="790" w:type="dxa"/>
            <w:vAlign w:val="center"/>
          </w:tcPr>
          <w:p>
            <w:pPr>
              <w:widowControl/>
              <w:jc w:val="center"/>
              <w:rPr>
                <w:rFonts w:ascii="仿宋" w:hAnsi="仿宋" w:eastAsia="仿宋" w:cs="仿宋"/>
                <w:b/>
                <w:bCs/>
                <w:sz w:val="24"/>
                <w:szCs w:val="24"/>
              </w:rPr>
            </w:pPr>
            <w:r>
              <w:rPr>
                <w:rFonts w:hint="eastAsia" w:ascii="仿宋" w:hAnsi="仿宋" w:eastAsia="仿宋" w:cs="仿宋"/>
                <w:b/>
                <w:bCs/>
                <w:color w:val="000000"/>
                <w:kern w:val="0"/>
                <w:sz w:val="24"/>
                <w:szCs w:val="24"/>
              </w:rPr>
              <w:t>符合</w:t>
            </w:r>
          </w:p>
        </w:tc>
        <w:tc>
          <w:tcPr>
            <w:tcW w:w="940" w:type="dxa"/>
          </w:tcPr>
          <w:p>
            <w:pPr>
              <w:widowControl/>
              <w:jc w:val="center"/>
              <w:rPr>
                <w:rFonts w:ascii="仿宋" w:hAnsi="仿宋" w:eastAsia="仿宋" w:cs="仿宋"/>
                <w:b/>
                <w:bCs/>
                <w:sz w:val="24"/>
                <w:szCs w:val="24"/>
              </w:rPr>
            </w:pPr>
            <w:r>
              <w:rPr>
                <w:rFonts w:hint="eastAsia" w:ascii="仿宋" w:hAnsi="仿宋" w:eastAsia="仿宋" w:cs="仿宋"/>
                <w:b/>
                <w:bCs/>
                <w:color w:val="000000"/>
                <w:kern w:val="0"/>
                <w:sz w:val="24"/>
                <w:szCs w:val="24"/>
              </w:rPr>
              <w:t>不符合</w:t>
            </w:r>
          </w:p>
        </w:tc>
        <w:tc>
          <w:tcPr>
            <w:tcW w:w="969" w:type="dxa"/>
          </w:tcPr>
          <w:p>
            <w:pPr>
              <w:widowControl/>
              <w:jc w:val="center"/>
              <w:rPr>
                <w:rFonts w:ascii="仿宋" w:hAnsi="仿宋" w:eastAsia="仿宋" w:cs="仿宋"/>
                <w:b/>
                <w:bCs/>
                <w:sz w:val="24"/>
                <w:szCs w:val="24"/>
              </w:rPr>
            </w:pPr>
            <w:r>
              <w:rPr>
                <w:rFonts w:hint="eastAsia" w:ascii="仿宋" w:hAnsi="仿宋" w:eastAsia="仿宋" w:cs="仿宋"/>
                <w:b/>
                <w:bCs/>
                <w:color w:val="000000"/>
                <w:kern w:val="0"/>
                <w:sz w:val="24"/>
                <w:szCs w:val="24"/>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10" w:hRule="atLeast"/>
        </w:trPr>
        <w:tc>
          <w:tcPr>
            <w:tcW w:w="1273" w:type="dxa"/>
            <w:vMerge w:val="restart"/>
            <w:vAlign w:val="center"/>
          </w:tcPr>
          <w:p>
            <w:pPr>
              <w:spacing w:line="720" w:lineRule="auto"/>
              <w:jc w:val="center"/>
              <w:rPr>
                <w:rFonts w:ascii="仿宋" w:hAnsi="仿宋" w:eastAsia="仿宋" w:cs="仿宋"/>
                <w:sz w:val="24"/>
                <w:szCs w:val="24"/>
              </w:rPr>
            </w:pPr>
            <w:r>
              <w:rPr>
                <w:rFonts w:hint="eastAsia" w:ascii="仿宋" w:hAnsi="仿宋" w:eastAsia="仿宋" w:cs="仿宋"/>
                <w:color w:val="000000"/>
                <w:sz w:val="24"/>
                <w:szCs w:val="24"/>
              </w:rPr>
              <w:t>1.管理与职责</w:t>
            </w:r>
          </w:p>
        </w:tc>
        <w:tc>
          <w:tcPr>
            <w:tcW w:w="1916" w:type="dxa"/>
            <w:vMerge w:val="restart"/>
            <w:vAlign w:val="center"/>
          </w:tcPr>
          <w:p>
            <w:pPr>
              <w:widowControl/>
              <w:spacing w:line="360" w:lineRule="auto"/>
              <w:jc w:val="left"/>
              <w:rPr>
                <w:rFonts w:ascii="仿宋" w:hAnsi="仿宋" w:eastAsia="仿宋" w:cs="仿宋"/>
                <w:sz w:val="24"/>
                <w:szCs w:val="24"/>
              </w:rPr>
            </w:pPr>
            <w:r>
              <w:rPr>
                <w:rFonts w:hint="eastAsia" w:ascii="仿宋" w:hAnsi="仿宋" w:eastAsia="仿宋" w:cs="仿宋"/>
                <w:color w:val="000000"/>
                <w:sz w:val="24"/>
                <w:szCs w:val="24"/>
              </w:rPr>
              <w:t>1.1 管理制度</w:t>
            </w:r>
          </w:p>
        </w:tc>
        <w:tc>
          <w:tcPr>
            <w:tcW w:w="6581" w:type="dxa"/>
            <w:vAlign w:val="center"/>
          </w:tcPr>
          <w:p>
            <w:pPr>
              <w:widowControl/>
              <w:jc w:val="left"/>
              <w:rPr>
                <w:rFonts w:ascii="仿宋" w:hAnsi="仿宋" w:eastAsia="仿宋" w:cs="仿宋"/>
                <w:color w:val="000000"/>
                <w:sz w:val="24"/>
                <w:szCs w:val="24"/>
              </w:rPr>
            </w:pPr>
            <w:r>
              <w:rPr>
                <w:rFonts w:hint="eastAsia" w:ascii="仿宋" w:hAnsi="仿宋" w:eastAsia="仿宋" w:cs="仿宋"/>
                <w:color w:val="000000"/>
                <w:sz w:val="24"/>
                <w:szCs w:val="24"/>
              </w:rPr>
              <w:t>1.1.1制定意外事故防范措施</w:t>
            </w:r>
          </w:p>
        </w:tc>
        <w:tc>
          <w:tcPr>
            <w:tcW w:w="1694" w:type="dxa"/>
            <w:vAlign w:val="center"/>
          </w:tcPr>
          <w:p>
            <w:pPr>
              <w:widowControl/>
              <w:rPr>
                <w:rFonts w:ascii="仿宋" w:hAnsi="仿宋" w:eastAsia="仿宋" w:cs="仿宋"/>
                <w:sz w:val="24"/>
                <w:szCs w:val="24"/>
              </w:rPr>
            </w:pPr>
            <w:r>
              <w:rPr>
                <w:rFonts w:hint="eastAsia" w:ascii="仿宋" w:hAnsi="仿宋" w:eastAsia="仿宋" w:cs="仿宋"/>
                <w:sz w:val="24"/>
                <w:szCs w:val="24"/>
              </w:rPr>
              <w:t>查看文档</w:t>
            </w:r>
          </w:p>
        </w:tc>
        <w:tc>
          <w:tcPr>
            <w:tcW w:w="790" w:type="dxa"/>
            <w:vAlign w:val="center"/>
          </w:tcPr>
          <w:p>
            <w:pPr>
              <w:widowControl/>
              <w:jc w:val="center"/>
              <w:rPr>
                <w:rFonts w:ascii="仿宋" w:hAnsi="仿宋" w:eastAsia="仿宋" w:cs="仿宋"/>
                <w:sz w:val="24"/>
                <w:szCs w:val="24"/>
              </w:rPr>
            </w:pPr>
          </w:p>
        </w:tc>
        <w:tc>
          <w:tcPr>
            <w:tcW w:w="940" w:type="dxa"/>
            <w:vAlign w:val="center"/>
          </w:tcPr>
          <w:p>
            <w:pPr>
              <w:widowControl/>
              <w:jc w:val="center"/>
              <w:rPr>
                <w:rFonts w:ascii="仿宋" w:hAnsi="仿宋" w:eastAsia="仿宋" w:cs="仿宋"/>
                <w:sz w:val="24"/>
                <w:szCs w:val="24"/>
              </w:rPr>
            </w:pPr>
          </w:p>
        </w:tc>
        <w:tc>
          <w:tcPr>
            <w:tcW w:w="969" w:type="dxa"/>
            <w:vAlign w:val="center"/>
          </w:tcPr>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10" w:hRule="atLeast"/>
        </w:trPr>
        <w:tc>
          <w:tcPr>
            <w:tcW w:w="1273" w:type="dxa"/>
            <w:vMerge w:val="continue"/>
          </w:tcPr>
          <w:p>
            <w:pPr>
              <w:rPr>
                <w:rFonts w:ascii="仿宋" w:hAnsi="仿宋" w:eastAsia="仿宋" w:cs="仿宋"/>
                <w:sz w:val="24"/>
                <w:szCs w:val="24"/>
              </w:rPr>
            </w:pPr>
          </w:p>
        </w:tc>
        <w:tc>
          <w:tcPr>
            <w:tcW w:w="1916" w:type="dxa"/>
            <w:vMerge w:val="continue"/>
            <w:vAlign w:val="center"/>
          </w:tcPr>
          <w:p>
            <w:pPr>
              <w:widowControl/>
              <w:spacing w:line="360" w:lineRule="auto"/>
              <w:jc w:val="left"/>
              <w:rPr>
                <w:rFonts w:ascii="仿宋" w:hAnsi="仿宋" w:eastAsia="仿宋" w:cs="仿宋"/>
                <w:sz w:val="24"/>
                <w:szCs w:val="24"/>
              </w:rPr>
            </w:pPr>
          </w:p>
        </w:tc>
        <w:tc>
          <w:tcPr>
            <w:tcW w:w="6581" w:type="dxa"/>
            <w:vAlign w:val="center"/>
          </w:tcPr>
          <w:p>
            <w:pPr>
              <w:widowControl/>
              <w:jc w:val="left"/>
              <w:rPr>
                <w:rFonts w:ascii="仿宋" w:hAnsi="仿宋" w:eastAsia="仿宋" w:cs="仿宋"/>
                <w:color w:val="000000"/>
                <w:sz w:val="24"/>
                <w:szCs w:val="24"/>
              </w:rPr>
            </w:pPr>
            <w:r>
              <w:rPr>
                <w:rFonts w:hint="eastAsia" w:ascii="仿宋" w:hAnsi="仿宋" w:eastAsia="仿宋" w:cs="仿宋"/>
                <w:color w:val="000000"/>
                <w:sz w:val="24"/>
                <w:szCs w:val="24"/>
              </w:rPr>
              <w:t>1.1.2制定应急预案并组织演练</w:t>
            </w:r>
          </w:p>
        </w:tc>
        <w:tc>
          <w:tcPr>
            <w:tcW w:w="1694" w:type="dxa"/>
            <w:vAlign w:val="center"/>
          </w:tcPr>
          <w:p>
            <w:pPr>
              <w:widowControl/>
              <w:rPr>
                <w:rFonts w:ascii="仿宋" w:hAnsi="仿宋" w:eastAsia="仿宋" w:cs="仿宋"/>
                <w:sz w:val="24"/>
                <w:szCs w:val="24"/>
              </w:rPr>
            </w:pPr>
            <w:r>
              <w:rPr>
                <w:rFonts w:hint="eastAsia" w:ascii="仿宋" w:hAnsi="仿宋" w:eastAsia="仿宋" w:cs="仿宋"/>
                <w:sz w:val="24"/>
                <w:szCs w:val="24"/>
              </w:rPr>
              <w:t>查看文档</w:t>
            </w:r>
          </w:p>
        </w:tc>
        <w:tc>
          <w:tcPr>
            <w:tcW w:w="790" w:type="dxa"/>
            <w:vAlign w:val="center"/>
          </w:tcPr>
          <w:p>
            <w:pPr>
              <w:widowControl/>
              <w:jc w:val="center"/>
              <w:rPr>
                <w:rFonts w:ascii="仿宋" w:hAnsi="仿宋" w:eastAsia="仿宋" w:cs="仿宋"/>
                <w:sz w:val="24"/>
                <w:szCs w:val="24"/>
              </w:rPr>
            </w:pPr>
          </w:p>
        </w:tc>
        <w:tc>
          <w:tcPr>
            <w:tcW w:w="940" w:type="dxa"/>
            <w:vAlign w:val="center"/>
          </w:tcPr>
          <w:p>
            <w:pPr>
              <w:widowControl/>
              <w:jc w:val="center"/>
              <w:rPr>
                <w:rFonts w:ascii="仿宋" w:hAnsi="仿宋" w:eastAsia="仿宋" w:cs="仿宋"/>
                <w:sz w:val="24"/>
                <w:szCs w:val="24"/>
              </w:rPr>
            </w:pPr>
          </w:p>
        </w:tc>
        <w:tc>
          <w:tcPr>
            <w:tcW w:w="969" w:type="dxa"/>
            <w:vAlign w:val="center"/>
          </w:tcPr>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10" w:hRule="atLeast"/>
        </w:trPr>
        <w:tc>
          <w:tcPr>
            <w:tcW w:w="1273" w:type="dxa"/>
            <w:vMerge w:val="continue"/>
          </w:tcPr>
          <w:p>
            <w:pPr>
              <w:rPr>
                <w:rFonts w:ascii="仿宋" w:hAnsi="仿宋" w:eastAsia="仿宋" w:cs="仿宋"/>
                <w:sz w:val="24"/>
                <w:szCs w:val="24"/>
              </w:rPr>
            </w:pPr>
          </w:p>
        </w:tc>
        <w:tc>
          <w:tcPr>
            <w:tcW w:w="1916" w:type="dxa"/>
            <w:vMerge w:val="continue"/>
            <w:vAlign w:val="center"/>
          </w:tcPr>
          <w:p>
            <w:pPr>
              <w:widowControl/>
              <w:spacing w:line="360" w:lineRule="auto"/>
              <w:jc w:val="left"/>
              <w:rPr>
                <w:rFonts w:ascii="仿宋" w:hAnsi="仿宋" w:eastAsia="仿宋" w:cs="仿宋"/>
                <w:sz w:val="24"/>
                <w:szCs w:val="24"/>
              </w:rPr>
            </w:pPr>
          </w:p>
        </w:tc>
        <w:tc>
          <w:tcPr>
            <w:tcW w:w="6581" w:type="dxa"/>
            <w:vAlign w:val="center"/>
          </w:tcPr>
          <w:p>
            <w:pPr>
              <w:widowControl/>
              <w:jc w:val="left"/>
              <w:rPr>
                <w:rFonts w:ascii="仿宋" w:hAnsi="仿宋" w:eastAsia="仿宋" w:cs="仿宋"/>
                <w:color w:val="000000"/>
                <w:sz w:val="24"/>
                <w:szCs w:val="24"/>
              </w:rPr>
            </w:pPr>
            <w:r>
              <w:rPr>
                <w:rFonts w:hint="eastAsia" w:ascii="仿宋" w:hAnsi="仿宋" w:eastAsia="仿宋" w:cs="仿宋"/>
                <w:color w:val="000000"/>
                <w:sz w:val="24"/>
                <w:szCs w:val="24"/>
              </w:rPr>
              <w:t>1.1.3定期开展实验室危险废弃物安全检查及环保宣传</w:t>
            </w:r>
          </w:p>
        </w:tc>
        <w:tc>
          <w:tcPr>
            <w:tcW w:w="1694" w:type="dxa"/>
            <w:vAlign w:val="center"/>
          </w:tcPr>
          <w:p>
            <w:pPr>
              <w:widowControl/>
              <w:rPr>
                <w:rFonts w:ascii="仿宋" w:hAnsi="仿宋" w:eastAsia="仿宋" w:cs="仿宋"/>
                <w:sz w:val="24"/>
                <w:szCs w:val="24"/>
              </w:rPr>
            </w:pPr>
            <w:r>
              <w:rPr>
                <w:rFonts w:hint="eastAsia" w:ascii="仿宋" w:hAnsi="仿宋" w:eastAsia="仿宋" w:cs="仿宋"/>
                <w:sz w:val="24"/>
                <w:szCs w:val="24"/>
              </w:rPr>
              <w:t>查看记录</w:t>
            </w:r>
          </w:p>
        </w:tc>
        <w:tc>
          <w:tcPr>
            <w:tcW w:w="790" w:type="dxa"/>
            <w:vAlign w:val="center"/>
          </w:tcPr>
          <w:p>
            <w:pPr>
              <w:widowControl/>
              <w:jc w:val="center"/>
              <w:rPr>
                <w:rFonts w:ascii="仿宋" w:hAnsi="仿宋" w:eastAsia="仿宋" w:cs="仿宋"/>
                <w:sz w:val="24"/>
                <w:szCs w:val="24"/>
              </w:rPr>
            </w:pPr>
          </w:p>
        </w:tc>
        <w:tc>
          <w:tcPr>
            <w:tcW w:w="940" w:type="dxa"/>
            <w:vAlign w:val="center"/>
          </w:tcPr>
          <w:p>
            <w:pPr>
              <w:widowControl/>
              <w:jc w:val="center"/>
              <w:rPr>
                <w:rFonts w:ascii="仿宋" w:hAnsi="仿宋" w:eastAsia="仿宋" w:cs="仿宋"/>
                <w:sz w:val="24"/>
                <w:szCs w:val="24"/>
              </w:rPr>
            </w:pPr>
          </w:p>
        </w:tc>
        <w:tc>
          <w:tcPr>
            <w:tcW w:w="969" w:type="dxa"/>
            <w:vAlign w:val="center"/>
          </w:tcPr>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10" w:hRule="atLeast"/>
        </w:trPr>
        <w:tc>
          <w:tcPr>
            <w:tcW w:w="1273" w:type="dxa"/>
            <w:vMerge w:val="continue"/>
          </w:tcPr>
          <w:p>
            <w:pPr>
              <w:rPr>
                <w:rFonts w:ascii="仿宋" w:hAnsi="仿宋" w:eastAsia="仿宋" w:cs="仿宋"/>
                <w:sz w:val="24"/>
                <w:szCs w:val="24"/>
              </w:rPr>
            </w:pPr>
          </w:p>
        </w:tc>
        <w:tc>
          <w:tcPr>
            <w:tcW w:w="1916" w:type="dxa"/>
            <w:vMerge w:val="continue"/>
            <w:vAlign w:val="center"/>
          </w:tcPr>
          <w:p>
            <w:pPr>
              <w:widowControl/>
              <w:spacing w:line="360" w:lineRule="auto"/>
              <w:jc w:val="left"/>
              <w:rPr>
                <w:rFonts w:ascii="仿宋" w:hAnsi="仿宋" w:eastAsia="仿宋" w:cs="仿宋"/>
                <w:sz w:val="24"/>
                <w:szCs w:val="24"/>
              </w:rPr>
            </w:pPr>
          </w:p>
        </w:tc>
        <w:tc>
          <w:tcPr>
            <w:tcW w:w="6581" w:type="dxa"/>
            <w:vAlign w:val="center"/>
          </w:tcPr>
          <w:p>
            <w:pPr>
              <w:widowControl/>
              <w:jc w:val="left"/>
              <w:rPr>
                <w:rFonts w:ascii="仿宋" w:hAnsi="仿宋" w:eastAsia="仿宋" w:cs="仿宋"/>
                <w:color w:val="000000"/>
                <w:sz w:val="24"/>
                <w:szCs w:val="24"/>
              </w:rPr>
            </w:pPr>
            <w:r>
              <w:rPr>
                <w:rFonts w:hint="eastAsia" w:ascii="仿宋" w:hAnsi="仿宋" w:eastAsia="仿宋" w:cs="仿宋"/>
                <w:color w:val="000000"/>
                <w:sz w:val="24"/>
                <w:szCs w:val="24"/>
              </w:rPr>
              <w:t>1.1.4制定危险废弃物收集及暂存工作细则</w:t>
            </w:r>
          </w:p>
        </w:tc>
        <w:tc>
          <w:tcPr>
            <w:tcW w:w="1694" w:type="dxa"/>
            <w:vAlign w:val="center"/>
          </w:tcPr>
          <w:p>
            <w:pPr>
              <w:widowControl/>
              <w:rPr>
                <w:rFonts w:ascii="仿宋" w:hAnsi="仿宋" w:eastAsia="仿宋" w:cs="仿宋"/>
                <w:sz w:val="24"/>
                <w:szCs w:val="24"/>
              </w:rPr>
            </w:pPr>
            <w:r>
              <w:rPr>
                <w:rFonts w:hint="eastAsia" w:ascii="仿宋" w:hAnsi="仿宋" w:eastAsia="仿宋" w:cs="仿宋"/>
                <w:sz w:val="24"/>
                <w:szCs w:val="24"/>
              </w:rPr>
              <w:t>查看文档</w:t>
            </w:r>
          </w:p>
        </w:tc>
        <w:tc>
          <w:tcPr>
            <w:tcW w:w="790" w:type="dxa"/>
            <w:vAlign w:val="center"/>
          </w:tcPr>
          <w:p>
            <w:pPr>
              <w:widowControl/>
              <w:jc w:val="center"/>
              <w:rPr>
                <w:rFonts w:ascii="仿宋" w:hAnsi="仿宋" w:eastAsia="仿宋" w:cs="仿宋"/>
                <w:sz w:val="24"/>
                <w:szCs w:val="24"/>
              </w:rPr>
            </w:pPr>
          </w:p>
        </w:tc>
        <w:tc>
          <w:tcPr>
            <w:tcW w:w="940" w:type="dxa"/>
            <w:vAlign w:val="center"/>
          </w:tcPr>
          <w:p>
            <w:pPr>
              <w:widowControl/>
              <w:jc w:val="center"/>
              <w:rPr>
                <w:rFonts w:ascii="仿宋" w:hAnsi="仿宋" w:eastAsia="仿宋" w:cs="仿宋"/>
                <w:sz w:val="24"/>
                <w:szCs w:val="24"/>
              </w:rPr>
            </w:pPr>
          </w:p>
        </w:tc>
        <w:tc>
          <w:tcPr>
            <w:tcW w:w="969" w:type="dxa"/>
            <w:vAlign w:val="center"/>
          </w:tcPr>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89" w:hRule="atLeast"/>
        </w:trPr>
        <w:tc>
          <w:tcPr>
            <w:tcW w:w="1273" w:type="dxa"/>
            <w:vMerge w:val="continue"/>
          </w:tcPr>
          <w:p>
            <w:pPr>
              <w:rPr>
                <w:rFonts w:ascii="仿宋" w:hAnsi="仿宋" w:eastAsia="仿宋" w:cs="仿宋"/>
                <w:sz w:val="24"/>
                <w:szCs w:val="24"/>
              </w:rPr>
            </w:pPr>
          </w:p>
        </w:tc>
        <w:tc>
          <w:tcPr>
            <w:tcW w:w="1916" w:type="dxa"/>
            <w:vMerge w:val="continue"/>
            <w:vAlign w:val="center"/>
          </w:tcPr>
          <w:p>
            <w:pPr>
              <w:widowControl/>
              <w:spacing w:line="360" w:lineRule="auto"/>
              <w:jc w:val="left"/>
              <w:rPr>
                <w:rFonts w:ascii="仿宋" w:hAnsi="仿宋" w:eastAsia="仿宋" w:cs="仿宋"/>
                <w:sz w:val="24"/>
                <w:szCs w:val="24"/>
              </w:rPr>
            </w:pPr>
          </w:p>
        </w:tc>
        <w:tc>
          <w:tcPr>
            <w:tcW w:w="6581" w:type="dxa"/>
            <w:vAlign w:val="center"/>
          </w:tcPr>
          <w:p>
            <w:pPr>
              <w:widowControl/>
              <w:jc w:val="left"/>
              <w:rPr>
                <w:rFonts w:ascii="仿宋" w:hAnsi="仿宋" w:eastAsia="仿宋" w:cs="仿宋"/>
                <w:color w:val="000000"/>
                <w:sz w:val="24"/>
                <w:szCs w:val="24"/>
              </w:rPr>
            </w:pPr>
            <w:r>
              <w:rPr>
                <w:rFonts w:hint="eastAsia" w:ascii="仿宋" w:hAnsi="仿宋" w:eastAsia="仿宋" w:cs="仿宋"/>
                <w:color w:val="000000"/>
                <w:sz w:val="24"/>
                <w:szCs w:val="24"/>
              </w:rPr>
              <w:t>1.1.5设立符合安全与环保要求的专门暂存危险废弃物的库房或室内专区</w:t>
            </w:r>
          </w:p>
        </w:tc>
        <w:tc>
          <w:tcPr>
            <w:tcW w:w="1694" w:type="dxa"/>
            <w:vAlign w:val="center"/>
          </w:tcPr>
          <w:p>
            <w:pPr>
              <w:widowControl/>
              <w:rPr>
                <w:rFonts w:ascii="仿宋" w:hAnsi="仿宋" w:eastAsia="仿宋" w:cs="仿宋"/>
                <w:sz w:val="24"/>
                <w:szCs w:val="24"/>
              </w:rPr>
            </w:pPr>
            <w:r>
              <w:rPr>
                <w:rFonts w:hint="eastAsia" w:ascii="仿宋" w:hAnsi="仿宋" w:eastAsia="仿宋" w:cs="仿宋"/>
                <w:sz w:val="24"/>
                <w:szCs w:val="24"/>
              </w:rPr>
              <w:t>查看现场</w:t>
            </w:r>
          </w:p>
        </w:tc>
        <w:tc>
          <w:tcPr>
            <w:tcW w:w="790" w:type="dxa"/>
            <w:vAlign w:val="center"/>
          </w:tcPr>
          <w:p>
            <w:pPr>
              <w:widowControl/>
              <w:jc w:val="center"/>
              <w:rPr>
                <w:rFonts w:ascii="仿宋" w:hAnsi="仿宋" w:eastAsia="仿宋" w:cs="仿宋"/>
                <w:sz w:val="24"/>
                <w:szCs w:val="24"/>
              </w:rPr>
            </w:pPr>
          </w:p>
        </w:tc>
        <w:tc>
          <w:tcPr>
            <w:tcW w:w="940" w:type="dxa"/>
            <w:vAlign w:val="center"/>
          </w:tcPr>
          <w:p>
            <w:pPr>
              <w:widowControl/>
              <w:jc w:val="center"/>
              <w:rPr>
                <w:rFonts w:ascii="仿宋" w:hAnsi="仿宋" w:eastAsia="仿宋" w:cs="仿宋"/>
                <w:sz w:val="24"/>
                <w:szCs w:val="24"/>
              </w:rPr>
            </w:pPr>
          </w:p>
        </w:tc>
        <w:tc>
          <w:tcPr>
            <w:tcW w:w="969" w:type="dxa"/>
            <w:vAlign w:val="center"/>
          </w:tcPr>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64" w:hRule="atLeast"/>
        </w:trPr>
        <w:tc>
          <w:tcPr>
            <w:tcW w:w="1273" w:type="dxa"/>
            <w:vMerge w:val="continue"/>
          </w:tcPr>
          <w:p>
            <w:pPr>
              <w:rPr>
                <w:rFonts w:ascii="仿宋" w:hAnsi="仿宋" w:eastAsia="仿宋" w:cs="仿宋"/>
                <w:sz w:val="24"/>
                <w:szCs w:val="24"/>
              </w:rPr>
            </w:pPr>
          </w:p>
        </w:tc>
        <w:tc>
          <w:tcPr>
            <w:tcW w:w="1916" w:type="dxa"/>
            <w:vMerge w:val="restart"/>
            <w:vAlign w:val="center"/>
          </w:tcPr>
          <w:p>
            <w:pPr>
              <w:widowControl/>
              <w:spacing w:line="360" w:lineRule="auto"/>
              <w:jc w:val="left"/>
              <w:rPr>
                <w:rFonts w:ascii="仿宋" w:hAnsi="仿宋" w:eastAsia="仿宋" w:cs="仿宋"/>
                <w:sz w:val="24"/>
                <w:szCs w:val="24"/>
              </w:rPr>
            </w:pPr>
            <w:r>
              <w:rPr>
                <w:rFonts w:hint="eastAsia" w:ascii="仿宋" w:hAnsi="仿宋" w:eastAsia="仿宋" w:cs="仿宋"/>
                <w:color w:val="000000"/>
                <w:sz w:val="24"/>
                <w:szCs w:val="24"/>
              </w:rPr>
              <w:t>1.2 人员职责</w:t>
            </w:r>
          </w:p>
        </w:tc>
        <w:tc>
          <w:tcPr>
            <w:tcW w:w="6581" w:type="dxa"/>
            <w:vAlign w:val="center"/>
          </w:tcPr>
          <w:p>
            <w:pPr>
              <w:widowControl/>
              <w:jc w:val="left"/>
              <w:rPr>
                <w:rFonts w:ascii="仿宋" w:hAnsi="仿宋" w:eastAsia="仿宋" w:cs="仿宋"/>
                <w:color w:val="000000"/>
                <w:sz w:val="24"/>
                <w:szCs w:val="24"/>
              </w:rPr>
            </w:pPr>
            <w:r>
              <w:rPr>
                <w:rFonts w:hint="eastAsia" w:ascii="仿宋" w:hAnsi="仿宋" w:eastAsia="仿宋" w:cs="仿宋"/>
                <w:color w:val="000000"/>
                <w:sz w:val="24"/>
                <w:szCs w:val="24"/>
              </w:rPr>
              <w:t>1.2.1安排专（兼）职管理人员负责本部门危险废弃物的收集管理工作</w:t>
            </w:r>
          </w:p>
        </w:tc>
        <w:tc>
          <w:tcPr>
            <w:tcW w:w="1694" w:type="dxa"/>
            <w:vAlign w:val="center"/>
          </w:tcPr>
          <w:p>
            <w:pPr>
              <w:widowControl/>
              <w:rPr>
                <w:rFonts w:ascii="仿宋" w:hAnsi="仿宋" w:eastAsia="仿宋" w:cs="仿宋"/>
                <w:sz w:val="24"/>
                <w:szCs w:val="24"/>
              </w:rPr>
            </w:pPr>
            <w:r>
              <w:rPr>
                <w:rFonts w:hint="eastAsia" w:ascii="仿宋" w:hAnsi="仿宋" w:eastAsia="仿宋" w:cs="仿宋"/>
                <w:sz w:val="24"/>
                <w:szCs w:val="24"/>
              </w:rPr>
              <w:t>查看文档</w:t>
            </w:r>
          </w:p>
        </w:tc>
        <w:tc>
          <w:tcPr>
            <w:tcW w:w="790" w:type="dxa"/>
            <w:vAlign w:val="center"/>
          </w:tcPr>
          <w:p>
            <w:pPr>
              <w:widowControl/>
              <w:jc w:val="center"/>
              <w:rPr>
                <w:rFonts w:ascii="仿宋" w:hAnsi="仿宋" w:eastAsia="仿宋" w:cs="仿宋"/>
                <w:sz w:val="24"/>
                <w:szCs w:val="24"/>
              </w:rPr>
            </w:pPr>
          </w:p>
        </w:tc>
        <w:tc>
          <w:tcPr>
            <w:tcW w:w="940" w:type="dxa"/>
            <w:vAlign w:val="center"/>
          </w:tcPr>
          <w:p>
            <w:pPr>
              <w:widowControl/>
              <w:jc w:val="center"/>
              <w:rPr>
                <w:rFonts w:ascii="仿宋" w:hAnsi="仿宋" w:eastAsia="仿宋" w:cs="仿宋"/>
                <w:sz w:val="24"/>
                <w:szCs w:val="24"/>
              </w:rPr>
            </w:pPr>
          </w:p>
        </w:tc>
        <w:tc>
          <w:tcPr>
            <w:tcW w:w="969" w:type="dxa"/>
            <w:vAlign w:val="center"/>
          </w:tcPr>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10" w:hRule="atLeast"/>
        </w:trPr>
        <w:tc>
          <w:tcPr>
            <w:tcW w:w="1273" w:type="dxa"/>
            <w:vMerge w:val="continue"/>
          </w:tcPr>
          <w:p>
            <w:pPr>
              <w:rPr>
                <w:rFonts w:ascii="仿宋" w:hAnsi="仿宋" w:eastAsia="仿宋" w:cs="仿宋"/>
                <w:sz w:val="24"/>
                <w:szCs w:val="24"/>
              </w:rPr>
            </w:pPr>
          </w:p>
        </w:tc>
        <w:tc>
          <w:tcPr>
            <w:tcW w:w="1916" w:type="dxa"/>
            <w:vMerge w:val="continue"/>
            <w:vAlign w:val="center"/>
          </w:tcPr>
          <w:p>
            <w:pPr>
              <w:widowControl/>
              <w:spacing w:line="360" w:lineRule="auto"/>
              <w:jc w:val="left"/>
              <w:rPr>
                <w:rFonts w:ascii="仿宋" w:hAnsi="仿宋" w:eastAsia="仿宋" w:cs="仿宋"/>
                <w:sz w:val="24"/>
                <w:szCs w:val="24"/>
              </w:rPr>
            </w:pPr>
          </w:p>
        </w:tc>
        <w:tc>
          <w:tcPr>
            <w:tcW w:w="6581" w:type="dxa"/>
            <w:vAlign w:val="center"/>
          </w:tcPr>
          <w:p>
            <w:pPr>
              <w:widowControl/>
              <w:jc w:val="left"/>
              <w:rPr>
                <w:rFonts w:ascii="仿宋" w:hAnsi="仿宋" w:eastAsia="仿宋" w:cs="仿宋"/>
                <w:color w:val="000000"/>
                <w:sz w:val="24"/>
                <w:szCs w:val="24"/>
              </w:rPr>
            </w:pPr>
            <w:r>
              <w:rPr>
                <w:rFonts w:hint="eastAsia" w:ascii="仿宋" w:hAnsi="仿宋" w:eastAsia="仿宋" w:cs="仿宋"/>
                <w:color w:val="000000"/>
                <w:sz w:val="24"/>
                <w:szCs w:val="24"/>
              </w:rPr>
              <w:t>1.2.2将危险管理人员信息上报后勤管理处</w:t>
            </w:r>
          </w:p>
        </w:tc>
        <w:tc>
          <w:tcPr>
            <w:tcW w:w="1694" w:type="dxa"/>
            <w:vAlign w:val="center"/>
          </w:tcPr>
          <w:p>
            <w:pPr>
              <w:widowControl/>
              <w:rPr>
                <w:rFonts w:ascii="仿宋" w:hAnsi="仿宋" w:eastAsia="仿宋" w:cs="仿宋"/>
                <w:sz w:val="24"/>
                <w:szCs w:val="24"/>
              </w:rPr>
            </w:pPr>
            <w:r>
              <w:rPr>
                <w:rFonts w:hint="eastAsia" w:ascii="仿宋" w:hAnsi="仿宋" w:eastAsia="仿宋" w:cs="仿宋"/>
                <w:sz w:val="24"/>
                <w:szCs w:val="24"/>
              </w:rPr>
              <w:t>查看文档</w:t>
            </w:r>
          </w:p>
        </w:tc>
        <w:tc>
          <w:tcPr>
            <w:tcW w:w="790" w:type="dxa"/>
            <w:vAlign w:val="center"/>
          </w:tcPr>
          <w:p>
            <w:pPr>
              <w:widowControl/>
              <w:jc w:val="center"/>
              <w:rPr>
                <w:rFonts w:ascii="仿宋" w:hAnsi="仿宋" w:eastAsia="仿宋" w:cs="仿宋"/>
                <w:sz w:val="24"/>
                <w:szCs w:val="24"/>
              </w:rPr>
            </w:pPr>
          </w:p>
        </w:tc>
        <w:tc>
          <w:tcPr>
            <w:tcW w:w="940" w:type="dxa"/>
            <w:vAlign w:val="center"/>
          </w:tcPr>
          <w:p>
            <w:pPr>
              <w:widowControl/>
              <w:jc w:val="center"/>
              <w:rPr>
                <w:rFonts w:ascii="仿宋" w:hAnsi="仿宋" w:eastAsia="仿宋" w:cs="仿宋"/>
                <w:sz w:val="24"/>
                <w:szCs w:val="24"/>
              </w:rPr>
            </w:pPr>
          </w:p>
        </w:tc>
        <w:tc>
          <w:tcPr>
            <w:tcW w:w="969" w:type="dxa"/>
            <w:vAlign w:val="center"/>
          </w:tcPr>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74" w:hRule="atLeast"/>
        </w:trPr>
        <w:tc>
          <w:tcPr>
            <w:tcW w:w="1273" w:type="dxa"/>
            <w:vMerge w:val="continue"/>
          </w:tcPr>
          <w:p>
            <w:pPr>
              <w:rPr>
                <w:rFonts w:ascii="仿宋" w:hAnsi="仿宋" w:eastAsia="仿宋" w:cs="仿宋"/>
                <w:sz w:val="24"/>
                <w:szCs w:val="24"/>
              </w:rPr>
            </w:pPr>
          </w:p>
        </w:tc>
        <w:tc>
          <w:tcPr>
            <w:tcW w:w="1916" w:type="dxa"/>
            <w:vMerge w:val="restart"/>
            <w:vAlign w:val="center"/>
          </w:tcPr>
          <w:p>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1.3 安全教育</w:t>
            </w:r>
          </w:p>
        </w:tc>
        <w:tc>
          <w:tcPr>
            <w:tcW w:w="6581" w:type="dxa"/>
            <w:vAlign w:val="center"/>
          </w:tcPr>
          <w:p>
            <w:pPr>
              <w:widowControl/>
              <w:jc w:val="left"/>
              <w:rPr>
                <w:rFonts w:ascii="仿宋" w:hAnsi="仿宋" w:eastAsia="仿宋" w:cs="仿宋"/>
                <w:color w:val="000000"/>
                <w:sz w:val="24"/>
                <w:szCs w:val="24"/>
              </w:rPr>
            </w:pPr>
            <w:r>
              <w:rPr>
                <w:rFonts w:hint="eastAsia" w:ascii="仿宋" w:hAnsi="仿宋" w:eastAsia="仿宋" w:cs="仿宋"/>
                <w:color w:val="000000"/>
                <w:sz w:val="24"/>
                <w:szCs w:val="24"/>
              </w:rPr>
              <w:t>1.3.1对从事教学、科研活动的人员进行危险废弃物收集、存贮等相关知识的岗前培训</w:t>
            </w:r>
          </w:p>
        </w:tc>
        <w:tc>
          <w:tcPr>
            <w:tcW w:w="1694" w:type="dxa"/>
            <w:vAlign w:val="center"/>
          </w:tcPr>
          <w:p>
            <w:pPr>
              <w:widowControl/>
              <w:rPr>
                <w:rFonts w:ascii="仿宋" w:hAnsi="仿宋" w:eastAsia="仿宋" w:cs="仿宋"/>
                <w:sz w:val="24"/>
                <w:szCs w:val="24"/>
              </w:rPr>
            </w:pPr>
            <w:r>
              <w:rPr>
                <w:rFonts w:hint="eastAsia" w:ascii="仿宋" w:hAnsi="仿宋" w:eastAsia="仿宋" w:cs="仿宋"/>
                <w:sz w:val="24"/>
                <w:szCs w:val="24"/>
              </w:rPr>
              <w:t>查看记录</w:t>
            </w:r>
          </w:p>
        </w:tc>
        <w:tc>
          <w:tcPr>
            <w:tcW w:w="790" w:type="dxa"/>
            <w:vAlign w:val="center"/>
          </w:tcPr>
          <w:p>
            <w:pPr>
              <w:widowControl/>
              <w:jc w:val="center"/>
              <w:rPr>
                <w:rFonts w:ascii="仿宋" w:hAnsi="仿宋" w:eastAsia="仿宋" w:cs="仿宋"/>
                <w:sz w:val="24"/>
                <w:szCs w:val="24"/>
              </w:rPr>
            </w:pPr>
          </w:p>
        </w:tc>
        <w:tc>
          <w:tcPr>
            <w:tcW w:w="940" w:type="dxa"/>
            <w:vAlign w:val="center"/>
          </w:tcPr>
          <w:p>
            <w:pPr>
              <w:widowControl/>
              <w:jc w:val="center"/>
              <w:rPr>
                <w:rFonts w:ascii="仿宋" w:hAnsi="仿宋" w:eastAsia="仿宋" w:cs="仿宋"/>
                <w:sz w:val="24"/>
                <w:szCs w:val="24"/>
              </w:rPr>
            </w:pPr>
          </w:p>
        </w:tc>
        <w:tc>
          <w:tcPr>
            <w:tcW w:w="969" w:type="dxa"/>
            <w:vAlign w:val="center"/>
          </w:tcPr>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74" w:hRule="atLeast"/>
        </w:trPr>
        <w:tc>
          <w:tcPr>
            <w:tcW w:w="1273" w:type="dxa"/>
            <w:vMerge w:val="continue"/>
          </w:tcPr>
          <w:p>
            <w:pPr>
              <w:rPr>
                <w:rFonts w:ascii="仿宋" w:hAnsi="仿宋" w:eastAsia="仿宋" w:cs="仿宋"/>
                <w:sz w:val="24"/>
                <w:szCs w:val="24"/>
              </w:rPr>
            </w:pPr>
          </w:p>
        </w:tc>
        <w:tc>
          <w:tcPr>
            <w:tcW w:w="1916" w:type="dxa"/>
            <w:vMerge w:val="continue"/>
          </w:tcPr>
          <w:p>
            <w:pPr>
              <w:widowControl/>
              <w:spacing w:line="360" w:lineRule="auto"/>
              <w:jc w:val="left"/>
              <w:rPr>
                <w:rFonts w:ascii="仿宋" w:hAnsi="仿宋" w:eastAsia="仿宋" w:cs="仿宋"/>
                <w:color w:val="000000"/>
                <w:sz w:val="24"/>
                <w:szCs w:val="24"/>
              </w:rPr>
            </w:pPr>
          </w:p>
        </w:tc>
        <w:tc>
          <w:tcPr>
            <w:tcW w:w="6581" w:type="dxa"/>
            <w:vAlign w:val="center"/>
          </w:tcPr>
          <w:p>
            <w:pPr>
              <w:widowControl/>
              <w:jc w:val="left"/>
              <w:rPr>
                <w:rFonts w:ascii="仿宋" w:hAnsi="仿宋" w:eastAsia="仿宋" w:cs="仿宋"/>
                <w:color w:val="000000"/>
                <w:sz w:val="24"/>
                <w:szCs w:val="24"/>
              </w:rPr>
            </w:pPr>
            <w:r>
              <w:rPr>
                <w:rFonts w:hint="eastAsia" w:ascii="仿宋" w:hAnsi="仿宋" w:eastAsia="仿宋" w:cs="仿宋"/>
                <w:color w:val="000000"/>
                <w:sz w:val="24"/>
                <w:szCs w:val="24"/>
              </w:rPr>
              <w:t>1.3.2教师在实验前须告知学生所做实验产生废弃物的危害性及收集方法，有记录</w:t>
            </w:r>
          </w:p>
        </w:tc>
        <w:tc>
          <w:tcPr>
            <w:tcW w:w="1694" w:type="dxa"/>
            <w:vAlign w:val="center"/>
          </w:tcPr>
          <w:p>
            <w:pPr>
              <w:widowControl/>
              <w:rPr>
                <w:rFonts w:ascii="仿宋" w:hAnsi="仿宋" w:eastAsia="仿宋" w:cs="仿宋"/>
                <w:sz w:val="24"/>
                <w:szCs w:val="24"/>
              </w:rPr>
            </w:pPr>
            <w:r>
              <w:rPr>
                <w:rFonts w:hint="eastAsia" w:ascii="仿宋" w:hAnsi="仿宋" w:eastAsia="仿宋" w:cs="仿宋"/>
                <w:sz w:val="24"/>
                <w:szCs w:val="24"/>
              </w:rPr>
              <w:t>查看记录</w:t>
            </w:r>
          </w:p>
        </w:tc>
        <w:tc>
          <w:tcPr>
            <w:tcW w:w="790" w:type="dxa"/>
          </w:tcPr>
          <w:p>
            <w:pPr>
              <w:rPr>
                <w:rFonts w:ascii="仿宋" w:hAnsi="仿宋" w:eastAsia="仿宋" w:cs="仿宋"/>
                <w:sz w:val="24"/>
                <w:szCs w:val="24"/>
              </w:rPr>
            </w:pPr>
          </w:p>
        </w:tc>
        <w:tc>
          <w:tcPr>
            <w:tcW w:w="940" w:type="dxa"/>
          </w:tcPr>
          <w:p>
            <w:pPr>
              <w:rPr>
                <w:rFonts w:ascii="仿宋" w:hAnsi="仿宋" w:eastAsia="仿宋" w:cs="仿宋"/>
                <w:sz w:val="24"/>
                <w:szCs w:val="24"/>
              </w:rPr>
            </w:pPr>
          </w:p>
        </w:tc>
        <w:tc>
          <w:tcPr>
            <w:tcW w:w="969" w:type="dxa"/>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10" w:hRule="atLeast"/>
        </w:trPr>
        <w:tc>
          <w:tcPr>
            <w:tcW w:w="1273" w:type="dxa"/>
            <w:vMerge w:val="restart"/>
            <w:vAlign w:val="center"/>
          </w:tcPr>
          <w:p>
            <w:pPr>
              <w:jc w:val="center"/>
              <w:rPr>
                <w:rFonts w:ascii="仿宋" w:hAnsi="仿宋" w:eastAsia="仿宋" w:cs="仿宋"/>
                <w:sz w:val="24"/>
                <w:szCs w:val="24"/>
              </w:rPr>
            </w:pPr>
            <w:r>
              <w:rPr>
                <w:rFonts w:hint="eastAsia" w:ascii="仿宋" w:hAnsi="仿宋" w:eastAsia="仿宋" w:cs="仿宋"/>
                <w:sz w:val="24"/>
                <w:szCs w:val="24"/>
              </w:rPr>
              <w:t>2.废弃物收集</w:t>
            </w:r>
          </w:p>
        </w:tc>
        <w:tc>
          <w:tcPr>
            <w:tcW w:w="1916" w:type="dxa"/>
            <w:vMerge w:val="restart"/>
            <w:vAlign w:val="center"/>
          </w:tcPr>
          <w:p>
            <w:pPr>
              <w:jc w:val="center"/>
              <w:rPr>
                <w:rFonts w:ascii="仿宋" w:hAnsi="仿宋" w:eastAsia="仿宋" w:cs="仿宋"/>
                <w:sz w:val="24"/>
                <w:szCs w:val="24"/>
              </w:rPr>
            </w:pPr>
            <w:r>
              <w:rPr>
                <w:rFonts w:hint="eastAsia" w:ascii="仿宋" w:hAnsi="仿宋" w:eastAsia="仿宋" w:cs="仿宋"/>
                <w:color w:val="000000"/>
                <w:sz w:val="24"/>
                <w:szCs w:val="24"/>
              </w:rPr>
              <w:t>2.1 化学实验废弃物收集</w:t>
            </w:r>
          </w:p>
        </w:tc>
        <w:tc>
          <w:tcPr>
            <w:tcW w:w="6581" w:type="dxa"/>
            <w:vAlign w:val="center"/>
          </w:tcPr>
          <w:p>
            <w:pPr>
              <w:widowControl/>
              <w:jc w:val="left"/>
              <w:rPr>
                <w:rFonts w:ascii="仿宋" w:hAnsi="仿宋" w:eastAsia="仿宋" w:cs="仿宋"/>
                <w:color w:val="000000"/>
                <w:sz w:val="24"/>
                <w:szCs w:val="24"/>
              </w:rPr>
            </w:pPr>
            <w:r>
              <w:rPr>
                <w:rFonts w:hint="eastAsia" w:ascii="仿宋" w:hAnsi="仿宋" w:eastAsia="仿宋" w:cs="仿宋"/>
                <w:color w:val="000000"/>
                <w:sz w:val="24"/>
                <w:szCs w:val="24"/>
              </w:rPr>
              <w:t>2.1.1建立危险废弃物台帐</w:t>
            </w:r>
          </w:p>
        </w:tc>
        <w:tc>
          <w:tcPr>
            <w:tcW w:w="1694" w:type="dxa"/>
            <w:vAlign w:val="center"/>
          </w:tcPr>
          <w:p>
            <w:pPr>
              <w:widowControl/>
              <w:rPr>
                <w:rFonts w:ascii="仿宋" w:hAnsi="仿宋" w:eastAsia="仿宋" w:cs="仿宋"/>
                <w:sz w:val="24"/>
                <w:szCs w:val="24"/>
              </w:rPr>
            </w:pPr>
            <w:r>
              <w:rPr>
                <w:rFonts w:hint="eastAsia" w:ascii="仿宋" w:hAnsi="仿宋" w:eastAsia="仿宋" w:cs="仿宋"/>
                <w:sz w:val="24"/>
                <w:szCs w:val="24"/>
              </w:rPr>
              <w:t>查看记录</w:t>
            </w:r>
          </w:p>
        </w:tc>
        <w:tc>
          <w:tcPr>
            <w:tcW w:w="790" w:type="dxa"/>
          </w:tcPr>
          <w:p>
            <w:pPr>
              <w:rPr>
                <w:rFonts w:ascii="仿宋" w:hAnsi="仿宋" w:eastAsia="仿宋" w:cs="仿宋"/>
                <w:sz w:val="24"/>
                <w:szCs w:val="24"/>
              </w:rPr>
            </w:pPr>
          </w:p>
        </w:tc>
        <w:tc>
          <w:tcPr>
            <w:tcW w:w="940" w:type="dxa"/>
          </w:tcPr>
          <w:p>
            <w:pPr>
              <w:rPr>
                <w:rFonts w:ascii="仿宋" w:hAnsi="仿宋" w:eastAsia="仿宋" w:cs="仿宋"/>
                <w:sz w:val="24"/>
                <w:szCs w:val="24"/>
              </w:rPr>
            </w:pPr>
          </w:p>
        </w:tc>
        <w:tc>
          <w:tcPr>
            <w:tcW w:w="969" w:type="dxa"/>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854" w:hRule="atLeast"/>
        </w:trPr>
        <w:tc>
          <w:tcPr>
            <w:tcW w:w="1273" w:type="dxa"/>
            <w:vMerge w:val="continue"/>
          </w:tcPr>
          <w:p>
            <w:pPr>
              <w:rPr>
                <w:rFonts w:ascii="仿宋" w:hAnsi="仿宋" w:eastAsia="仿宋" w:cs="仿宋"/>
                <w:sz w:val="24"/>
                <w:szCs w:val="24"/>
              </w:rPr>
            </w:pPr>
          </w:p>
        </w:tc>
        <w:tc>
          <w:tcPr>
            <w:tcW w:w="1916" w:type="dxa"/>
            <w:vMerge w:val="continue"/>
          </w:tcPr>
          <w:p>
            <w:pPr>
              <w:spacing w:line="360" w:lineRule="auto"/>
              <w:jc w:val="left"/>
              <w:rPr>
                <w:rFonts w:ascii="仿宋" w:hAnsi="仿宋" w:eastAsia="仿宋" w:cs="仿宋"/>
                <w:sz w:val="24"/>
                <w:szCs w:val="24"/>
              </w:rPr>
            </w:pPr>
          </w:p>
        </w:tc>
        <w:tc>
          <w:tcPr>
            <w:tcW w:w="6581" w:type="dxa"/>
            <w:vAlign w:val="center"/>
          </w:tcPr>
          <w:p>
            <w:pPr>
              <w:widowControl/>
              <w:jc w:val="left"/>
              <w:rPr>
                <w:rFonts w:ascii="仿宋" w:hAnsi="仿宋" w:eastAsia="仿宋" w:cs="仿宋"/>
                <w:color w:val="000000"/>
                <w:sz w:val="24"/>
                <w:szCs w:val="24"/>
              </w:rPr>
            </w:pPr>
            <w:r>
              <w:rPr>
                <w:rFonts w:hint="eastAsia" w:ascii="仿宋" w:hAnsi="仿宋" w:eastAsia="仿宋" w:cs="仿宋"/>
                <w:color w:val="000000"/>
                <w:sz w:val="24"/>
                <w:szCs w:val="24"/>
              </w:rPr>
              <w:t>2.1.2室内、外危险废弃物临时存放地点要有明显区域界限、有警告标志，无室外堆放实验废弃物现象。</w:t>
            </w:r>
          </w:p>
        </w:tc>
        <w:tc>
          <w:tcPr>
            <w:tcW w:w="1694" w:type="dxa"/>
            <w:vAlign w:val="center"/>
          </w:tcPr>
          <w:p>
            <w:pPr>
              <w:widowControl/>
              <w:rPr>
                <w:rFonts w:ascii="仿宋" w:hAnsi="仿宋" w:eastAsia="仿宋" w:cs="仿宋"/>
                <w:sz w:val="24"/>
                <w:szCs w:val="24"/>
              </w:rPr>
            </w:pPr>
            <w:r>
              <w:rPr>
                <w:rFonts w:hint="eastAsia" w:ascii="仿宋" w:hAnsi="仿宋" w:eastAsia="仿宋" w:cs="仿宋"/>
                <w:sz w:val="24"/>
                <w:szCs w:val="24"/>
              </w:rPr>
              <w:t>查看现场</w:t>
            </w:r>
          </w:p>
        </w:tc>
        <w:tc>
          <w:tcPr>
            <w:tcW w:w="790" w:type="dxa"/>
          </w:tcPr>
          <w:p>
            <w:pPr>
              <w:rPr>
                <w:rFonts w:ascii="仿宋" w:hAnsi="仿宋" w:eastAsia="仿宋" w:cs="仿宋"/>
                <w:sz w:val="24"/>
                <w:szCs w:val="24"/>
              </w:rPr>
            </w:pPr>
          </w:p>
        </w:tc>
        <w:tc>
          <w:tcPr>
            <w:tcW w:w="940" w:type="dxa"/>
          </w:tcPr>
          <w:p>
            <w:pPr>
              <w:rPr>
                <w:rFonts w:ascii="仿宋" w:hAnsi="仿宋" w:eastAsia="仿宋" w:cs="仿宋"/>
                <w:sz w:val="24"/>
                <w:szCs w:val="24"/>
              </w:rPr>
            </w:pPr>
          </w:p>
        </w:tc>
        <w:tc>
          <w:tcPr>
            <w:tcW w:w="969" w:type="dxa"/>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10" w:hRule="atLeast"/>
        </w:trPr>
        <w:tc>
          <w:tcPr>
            <w:tcW w:w="1273" w:type="dxa"/>
            <w:vMerge w:val="continue"/>
          </w:tcPr>
          <w:p>
            <w:pPr>
              <w:rPr>
                <w:rFonts w:ascii="仿宋" w:hAnsi="仿宋" w:eastAsia="仿宋" w:cs="仿宋"/>
                <w:sz w:val="24"/>
                <w:szCs w:val="24"/>
              </w:rPr>
            </w:pPr>
          </w:p>
        </w:tc>
        <w:tc>
          <w:tcPr>
            <w:tcW w:w="1916" w:type="dxa"/>
            <w:vMerge w:val="continue"/>
            <w:vAlign w:val="center"/>
          </w:tcPr>
          <w:p>
            <w:pPr>
              <w:widowControl/>
              <w:spacing w:line="360" w:lineRule="auto"/>
              <w:jc w:val="left"/>
              <w:rPr>
                <w:rFonts w:ascii="仿宋" w:hAnsi="仿宋" w:eastAsia="仿宋" w:cs="仿宋"/>
                <w:sz w:val="24"/>
                <w:szCs w:val="24"/>
              </w:rPr>
            </w:pPr>
          </w:p>
        </w:tc>
        <w:tc>
          <w:tcPr>
            <w:tcW w:w="6581" w:type="dxa"/>
            <w:vAlign w:val="center"/>
          </w:tcPr>
          <w:p>
            <w:pPr>
              <w:widowControl/>
              <w:jc w:val="left"/>
              <w:rPr>
                <w:rFonts w:ascii="仿宋" w:hAnsi="仿宋" w:eastAsia="仿宋" w:cs="仿宋"/>
                <w:color w:val="000000"/>
                <w:sz w:val="24"/>
                <w:szCs w:val="24"/>
              </w:rPr>
            </w:pPr>
            <w:r>
              <w:rPr>
                <w:rFonts w:hint="eastAsia" w:ascii="仿宋" w:hAnsi="仿宋" w:eastAsia="仿宋" w:cs="仿宋"/>
                <w:color w:val="000000"/>
                <w:sz w:val="24"/>
                <w:szCs w:val="24"/>
              </w:rPr>
              <w:t>2.1.3收集容器贴有学校有统一印制的化学实验废弃物标签，标签信息包括：废弃物类别、危险特性、主要成分、产生部门、送储人、日期等信息。标识危险废弃物名称、危险类别、安全事项的标签</w:t>
            </w:r>
          </w:p>
        </w:tc>
        <w:tc>
          <w:tcPr>
            <w:tcW w:w="1694" w:type="dxa"/>
            <w:vAlign w:val="center"/>
          </w:tcPr>
          <w:p>
            <w:pPr>
              <w:widowControl/>
              <w:rPr>
                <w:rFonts w:ascii="仿宋" w:hAnsi="仿宋" w:eastAsia="仿宋" w:cs="仿宋"/>
                <w:sz w:val="24"/>
                <w:szCs w:val="24"/>
              </w:rPr>
            </w:pPr>
            <w:r>
              <w:rPr>
                <w:rFonts w:hint="eastAsia" w:ascii="仿宋" w:hAnsi="仿宋" w:eastAsia="仿宋" w:cs="仿宋"/>
                <w:sz w:val="24"/>
                <w:szCs w:val="24"/>
              </w:rPr>
              <w:t>查看现场</w:t>
            </w:r>
          </w:p>
        </w:tc>
        <w:tc>
          <w:tcPr>
            <w:tcW w:w="790" w:type="dxa"/>
          </w:tcPr>
          <w:p>
            <w:pPr>
              <w:rPr>
                <w:rFonts w:ascii="仿宋" w:hAnsi="仿宋" w:eastAsia="仿宋" w:cs="仿宋"/>
                <w:sz w:val="24"/>
                <w:szCs w:val="24"/>
              </w:rPr>
            </w:pPr>
          </w:p>
        </w:tc>
        <w:tc>
          <w:tcPr>
            <w:tcW w:w="940" w:type="dxa"/>
          </w:tcPr>
          <w:p>
            <w:pPr>
              <w:rPr>
                <w:rFonts w:ascii="仿宋" w:hAnsi="仿宋" w:eastAsia="仿宋" w:cs="仿宋"/>
                <w:sz w:val="24"/>
                <w:szCs w:val="24"/>
              </w:rPr>
            </w:pPr>
          </w:p>
        </w:tc>
        <w:tc>
          <w:tcPr>
            <w:tcW w:w="969" w:type="dxa"/>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10" w:hRule="atLeast"/>
        </w:trPr>
        <w:tc>
          <w:tcPr>
            <w:tcW w:w="1273" w:type="dxa"/>
            <w:vMerge w:val="continue"/>
          </w:tcPr>
          <w:p>
            <w:pPr>
              <w:rPr>
                <w:rFonts w:ascii="仿宋" w:hAnsi="仿宋" w:eastAsia="仿宋" w:cs="仿宋"/>
                <w:sz w:val="24"/>
                <w:szCs w:val="24"/>
              </w:rPr>
            </w:pPr>
          </w:p>
        </w:tc>
        <w:tc>
          <w:tcPr>
            <w:tcW w:w="1916" w:type="dxa"/>
            <w:vMerge w:val="continue"/>
            <w:vAlign w:val="center"/>
          </w:tcPr>
          <w:p>
            <w:pPr>
              <w:jc w:val="left"/>
              <w:rPr>
                <w:rFonts w:ascii="仿宋" w:hAnsi="仿宋" w:eastAsia="仿宋" w:cs="仿宋"/>
                <w:sz w:val="24"/>
                <w:szCs w:val="24"/>
              </w:rPr>
            </w:pPr>
          </w:p>
        </w:tc>
        <w:tc>
          <w:tcPr>
            <w:tcW w:w="6581" w:type="dxa"/>
            <w:vAlign w:val="center"/>
          </w:tcPr>
          <w:p>
            <w:pPr>
              <w:widowControl/>
              <w:jc w:val="left"/>
              <w:rPr>
                <w:rFonts w:ascii="仿宋" w:hAnsi="仿宋" w:eastAsia="仿宋" w:cs="仿宋"/>
                <w:color w:val="000000"/>
                <w:sz w:val="24"/>
                <w:szCs w:val="24"/>
              </w:rPr>
            </w:pPr>
            <w:r>
              <w:rPr>
                <w:rFonts w:hint="eastAsia" w:ascii="仿宋" w:hAnsi="仿宋" w:eastAsia="仿宋" w:cs="仿宋"/>
                <w:color w:val="000000"/>
                <w:sz w:val="24"/>
                <w:szCs w:val="24"/>
              </w:rPr>
              <w:t>2.1.4不与生活垃圾混放</w:t>
            </w:r>
          </w:p>
        </w:tc>
        <w:tc>
          <w:tcPr>
            <w:tcW w:w="1694" w:type="dxa"/>
            <w:vAlign w:val="center"/>
          </w:tcPr>
          <w:p>
            <w:pPr>
              <w:widowControl/>
              <w:rPr>
                <w:rFonts w:ascii="仿宋" w:hAnsi="仿宋" w:eastAsia="仿宋" w:cs="仿宋"/>
                <w:color w:val="000000"/>
                <w:sz w:val="24"/>
                <w:szCs w:val="24"/>
              </w:rPr>
            </w:pPr>
            <w:r>
              <w:rPr>
                <w:rFonts w:hint="eastAsia" w:ascii="仿宋" w:hAnsi="仿宋" w:eastAsia="仿宋" w:cs="仿宋"/>
                <w:sz w:val="24"/>
                <w:szCs w:val="24"/>
              </w:rPr>
              <w:t>查看现场</w:t>
            </w:r>
          </w:p>
        </w:tc>
        <w:tc>
          <w:tcPr>
            <w:tcW w:w="790" w:type="dxa"/>
          </w:tcPr>
          <w:p>
            <w:pPr>
              <w:rPr>
                <w:rFonts w:ascii="仿宋" w:hAnsi="仿宋" w:eastAsia="仿宋" w:cs="仿宋"/>
                <w:sz w:val="24"/>
                <w:szCs w:val="24"/>
              </w:rPr>
            </w:pPr>
          </w:p>
        </w:tc>
        <w:tc>
          <w:tcPr>
            <w:tcW w:w="940" w:type="dxa"/>
          </w:tcPr>
          <w:p>
            <w:pPr>
              <w:rPr>
                <w:rFonts w:ascii="仿宋" w:hAnsi="仿宋" w:eastAsia="仿宋" w:cs="仿宋"/>
                <w:sz w:val="24"/>
                <w:szCs w:val="24"/>
              </w:rPr>
            </w:pPr>
          </w:p>
        </w:tc>
        <w:tc>
          <w:tcPr>
            <w:tcW w:w="969" w:type="dxa"/>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10" w:hRule="atLeast"/>
        </w:trPr>
        <w:tc>
          <w:tcPr>
            <w:tcW w:w="1273" w:type="dxa"/>
            <w:vMerge w:val="continue"/>
          </w:tcPr>
          <w:p>
            <w:pPr>
              <w:rPr>
                <w:rFonts w:ascii="仿宋" w:hAnsi="仿宋" w:eastAsia="仿宋" w:cs="仿宋"/>
                <w:sz w:val="24"/>
                <w:szCs w:val="24"/>
              </w:rPr>
            </w:pPr>
          </w:p>
        </w:tc>
        <w:tc>
          <w:tcPr>
            <w:tcW w:w="1916" w:type="dxa"/>
            <w:vMerge w:val="continue"/>
            <w:vAlign w:val="center"/>
          </w:tcPr>
          <w:p>
            <w:pPr>
              <w:widowControl/>
              <w:jc w:val="left"/>
              <w:rPr>
                <w:rFonts w:ascii="仿宋" w:hAnsi="仿宋" w:eastAsia="仿宋" w:cs="仿宋"/>
                <w:sz w:val="24"/>
                <w:szCs w:val="24"/>
              </w:rPr>
            </w:pPr>
          </w:p>
        </w:tc>
        <w:tc>
          <w:tcPr>
            <w:tcW w:w="6581" w:type="dxa"/>
            <w:vAlign w:val="center"/>
          </w:tcPr>
          <w:p>
            <w:pPr>
              <w:widowControl/>
              <w:jc w:val="left"/>
              <w:rPr>
                <w:rFonts w:ascii="仿宋" w:hAnsi="仿宋" w:eastAsia="仿宋" w:cs="仿宋"/>
                <w:color w:val="000000"/>
                <w:sz w:val="24"/>
                <w:szCs w:val="24"/>
              </w:rPr>
            </w:pPr>
            <w:r>
              <w:rPr>
                <w:rFonts w:hint="eastAsia" w:ascii="仿宋" w:hAnsi="仿宋" w:eastAsia="仿宋" w:cs="仿宋"/>
                <w:color w:val="000000"/>
                <w:sz w:val="24"/>
                <w:szCs w:val="24"/>
              </w:rPr>
              <w:t>2.1.5未经处理的酸、碱废液及实验中产生的有毒有害废液须分类收集于专门的废液收集容器中，严禁直排入下水道</w:t>
            </w:r>
          </w:p>
        </w:tc>
        <w:tc>
          <w:tcPr>
            <w:tcW w:w="1694" w:type="dxa"/>
            <w:vAlign w:val="center"/>
          </w:tcPr>
          <w:p>
            <w:pPr>
              <w:widowControl/>
              <w:rPr>
                <w:rFonts w:ascii="仿宋" w:hAnsi="仿宋" w:eastAsia="仿宋" w:cs="仿宋"/>
                <w:color w:val="000000"/>
                <w:sz w:val="24"/>
                <w:szCs w:val="24"/>
              </w:rPr>
            </w:pPr>
            <w:r>
              <w:rPr>
                <w:rFonts w:hint="eastAsia" w:ascii="仿宋" w:hAnsi="仿宋" w:eastAsia="仿宋" w:cs="仿宋"/>
                <w:sz w:val="24"/>
                <w:szCs w:val="24"/>
              </w:rPr>
              <w:t>查看现场</w:t>
            </w:r>
          </w:p>
        </w:tc>
        <w:tc>
          <w:tcPr>
            <w:tcW w:w="790" w:type="dxa"/>
          </w:tcPr>
          <w:p>
            <w:pPr>
              <w:rPr>
                <w:rFonts w:ascii="仿宋" w:hAnsi="仿宋" w:eastAsia="仿宋" w:cs="仿宋"/>
                <w:sz w:val="24"/>
                <w:szCs w:val="24"/>
              </w:rPr>
            </w:pPr>
          </w:p>
        </w:tc>
        <w:tc>
          <w:tcPr>
            <w:tcW w:w="940" w:type="dxa"/>
          </w:tcPr>
          <w:p>
            <w:pPr>
              <w:rPr>
                <w:rFonts w:ascii="仿宋" w:hAnsi="仿宋" w:eastAsia="仿宋" w:cs="仿宋"/>
                <w:sz w:val="24"/>
                <w:szCs w:val="24"/>
              </w:rPr>
            </w:pPr>
          </w:p>
        </w:tc>
        <w:tc>
          <w:tcPr>
            <w:tcW w:w="969" w:type="dxa"/>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10" w:hRule="atLeast"/>
        </w:trPr>
        <w:tc>
          <w:tcPr>
            <w:tcW w:w="1273" w:type="dxa"/>
            <w:vMerge w:val="continue"/>
          </w:tcPr>
          <w:p>
            <w:pPr>
              <w:rPr>
                <w:rFonts w:ascii="仿宋" w:hAnsi="仿宋" w:eastAsia="仿宋" w:cs="仿宋"/>
                <w:sz w:val="24"/>
                <w:szCs w:val="24"/>
              </w:rPr>
            </w:pPr>
          </w:p>
        </w:tc>
        <w:tc>
          <w:tcPr>
            <w:tcW w:w="1916" w:type="dxa"/>
            <w:vMerge w:val="continue"/>
            <w:vAlign w:val="center"/>
          </w:tcPr>
          <w:p>
            <w:pPr>
              <w:widowControl/>
              <w:jc w:val="left"/>
              <w:rPr>
                <w:rFonts w:ascii="仿宋" w:hAnsi="仿宋" w:eastAsia="仿宋" w:cs="仿宋"/>
                <w:sz w:val="24"/>
                <w:szCs w:val="24"/>
              </w:rPr>
            </w:pPr>
          </w:p>
        </w:tc>
        <w:tc>
          <w:tcPr>
            <w:tcW w:w="6581" w:type="dxa"/>
            <w:vAlign w:val="center"/>
          </w:tcPr>
          <w:p>
            <w:pPr>
              <w:widowControl/>
              <w:jc w:val="left"/>
              <w:rPr>
                <w:rFonts w:ascii="仿宋" w:hAnsi="仿宋" w:eastAsia="仿宋" w:cs="仿宋"/>
                <w:color w:val="000000"/>
                <w:sz w:val="24"/>
                <w:szCs w:val="24"/>
              </w:rPr>
            </w:pPr>
            <w:r>
              <w:rPr>
                <w:rFonts w:hint="eastAsia" w:ascii="仿宋" w:hAnsi="仿宋" w:eastAsia="仿宋" w:cs="仿宋"/>
                <w:color w:val="000000"/>
                <w:sz w:val="24"/>
                <w:szCs w:val="24"/>
              </w:rPr>
              <w:t>2.1.6实验产生的有毒有害废气，应采取相应措施，有害物质浓度达标后，排入大气</w:t>
            </w:r>
          </w:p>
        </w:tc>
        <w:tc>
          <w:tcPr>
            <w:tcW w:w="1694" w:type="dxa"/>
            <w:vAlign w:val="center"/>
          </w:tcPr>
          <w:p>
            <w:pPr>
              <w:widowControl/>
              <w:rPr>
                <w:rFonts w:ascii="仿宋" w:hAnsi="仿宋" w:eastAsia="仿宋" w:cs="仿宋"/>
                <w:color w:val="000000"/>
                <w:sz w:val="24"/>
                <w:szCs w:val="24"/>
              </w:rPr>
            </w:pPr>
            <w:r>
              <w:rPr>
                <w:rFonts w:hint="eastAsia" w:ascii="仿宋" w:hAnsi="仿宋" w:eastAsia="仿宋" w:cs="仿宋"/>
                <w:sz w:val="24"/>
                <w:szCs w:val="24"/>
              </w:rPr>
              <w:t>查看现场</w:t>
            </w:r>
          </w:p>
        </w:tc>
        <w:tc>
          <w:tcPr>
            <w:tcW w:w="790" w:type="dxa"/>
          </w:tcPr>
          <w:p>
            <w:pPr>
              <w:rPr>
                <w:rFonts w:ascii="仿宋" w:hAnsi="仿宋" w:eastAsia="仿宋" w:cs="仿宋"/>
                <w:sz w:val="24"/>
                <w:szCs w:val="24"/>
              </w:rPr>
            </w:pPr>
          </w:p>
        </w:tc>
        <w:tc>
          <w:tcPr>
            <w:tcW w:w="940" w:type="dxa"/>
          </w:tcPr>
          <w:p>
            <w:pPr>
              <w:rPr>
                <w:rFonts w:ascii="仿宋" w:hAnsi="仿宋" w:eastAsia="仿宋" w:cs="仿宋"/>
                <w:sz w:val="24"/>
                <w:szCs w:val="24"/>
              </w:rPr>
            </w:pPr>
          </w:p>
        </w:tc>
        <w:tc>
          <w:tcPr>
            <w:tcW w:w="969" w:type="dxa"/>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10" w:hRule="atLeast"/>
        </w:trPr>
        <w:tc>
          <w:tcPr>
            <w:tcW w:w="1273" w:type="dxa"/>
            <w:vMerge w:val="continue"/>
          </w:tcPr>
          <w:p>
            <w:pPr>
              <w:rPr>
                <w:rFonts w:ascii="仿宋" w:hAnsi="仿宋" w:eastAsia="仿宋" w:cs="仿宋"/>
                <w:sz w:val="24"/>
                <w:szCs w:val="24"/>
              </w:rPr>
            </w:pPr>
          </w:p>
        </w:tc>
        <w:tc>
          <w:tcPr>
            <w:tcW w:w="1916" w:type="dxa"/>
            <w:vMerge w:val="continue"/>
            <w:vAlign w:val="center"/>
          </w:tcPr>
          <w:p>
            <w:pPr>
              <w:widowControl/>
              <w:jc w:val="left"/>
              <w:rPr>
                <w:rFonts w:ascii="仿宋" w:hAnsi="仿宋" w:eastAsia="仿宋" w:cs="仿宋"/>
                <w:sz w:val="24"/>
                <w:szCs w:val="24"/>
              </w:rPr>
            </w:pPr>
          </w:p>
        </w:tc>
        <w:tc>
          <w:tcPr>
            <w:tcW w:w="6581" w:type="dxa"/>
            <w:vAlign w:val="center"/>
          </w:tcPr>
          <w:p>
            <w:pPr>
              <w:widowControl/>
              <w:jc w:val="left"/>
              <w:rPr>
                <w:rFonts w:ascii="仿宋" w:hAnsi="仿宋" w:eastAsia="仿宋" w:cs="仿宋"/>
                <w:color w:val="000000"/>
                <w:sz w:val="24"/>
                <w:szCs w:val="24"/>
              </w:rPr>
            </w:pPr>
            <w:r>
              <w:rPr>
                <w:rFonts w:hint="eastAsia" w:ascii="仿宋" w:hAnsi="仿宋" w:eastAsia="仿宋" w:cs="仿宋"/>
                <w:color w:val="000000"/>
                <w:sz w:val="24"/>
                <w:szCs w:val="24"/>
              </w:rPr>
              <w:t>2.1.7有毒有害固态废弃物及盛装危废品的器皿、包装物等须放入专门的收集容器中，标识清晰完整</w:t>
            </w:r>
          </w:p>
        </w:tc>
        <w:tc>
          <w:tcPr>
            <w:tcW w:w="1694" w:type="dxa"/>
            <w:vAlign w:val="center"/>
          </w:tcPr>
          <w:p>
            <w:pPr>
              <w:widowControl/>
              <w:rPr>
                <w:rFonts w:ascii="仿宋" w:hAnsi="仿宋" w:eastAsia="仿宋" w:cs="仿宋"/>
                <w:color w:val="000000"/>
                <w:sz w:val="24"/>
                <w:szCs w:val="24"/>
              </w:rPr>
            </w:pPr>
            <w:r>
              <w:rPr>
                <w:rFonts w:hint="eastAsia" w:ascii="仿宋" w:hAnsi="仿宋" w:eastAsia="仿宋" w:cs="仿宋"/>
                <w:sz w:val="24"/>
                <w:szCs w:val="24"/>
              </w:rPr>
              <w:t>查看现场</w:t>
            </w:r>
          </w:p>
        </w:tc>
        <w:tc>
          <w:tcPr>
            <w:tcW w:w="790" w:type="dxa"/>
          </w:tcPr>
          <w:p>
            <w:pPr>
              <w:rPr>
                <w:rFonts w:ascii="仿宋" w:hAnsi="仿宋" w:eastAsia="仿宋" w:cs="仿宋"/>
                <w:sz w:val="24"/>
                <w:szCs w:val="24"/>
              </w:rPr>
            </w:pPr>
          </w:p>
        </w:tc>
        <w:tc>
          <w:tcPr>
            <w:tcW w:w="940" w:type="dxa"/>
          </w:tcPr>
          <w:p>
            <w:pPr>
              <w:rPr>
                <w:rFonts w:ascii="仿宋" w:hAnsi="仿宋" w:eastAsia="仿宋" w:cs="仿宋"/>
                <w:sz w:val="24"/>
                <w:szCs w:val="24"/>
              </w:rPr>
            </w:pPr>
          </w:p>
        </w:tc>
        <w:tc>
          <w:tcPr>
            <w:tcW w:w="969" w:type="dxa"/>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10" w:hRule="atLeast"/>
        </w:trPr>
        <w:tc>
          <w:tcPr>
            <w:tcW w:w="1273" w:type="dxa"/>
            <w:vMerge w:val="continue"/>
            <w:vAlign w:val="center"/>
          </w:tcPr>
          <w:p>
            <w:pPr>
              <w:widowControl/>
              <w:spacing w:line="600" w:lineRule="auto"/>
              <w:jc w:val="center"/>
              <w:rPr>
                <w:rFonts w:ascii="仿宋" w:hAnsi="仿宋" w:eastAsia="仿宋" w:cs="仿宋"/>
                <w:sz w:val="24"/>
                <w:szCs w:val="24"/>
              </w:rPr>
            </w:pPr>
          </w:p>
        </w:tc>
        <w:tc>
          <w:tcPr>
            <w:tcW w:w="1916" w:type="dxa"/>
            <w:vMerge w:val="continue"/>
            <w:vAlign w:val="center"/>
          </w:tcPr>
          <w:p>
            <w:pPr>
              <w:widowControl/>
              <w:jc w:val="left"/>
              <w:rPr>
                <w:rFonts w:ascii="仿宋" w:hAnsi="仿宋" w:eastAsia="仿宋" w:cs="仿宋"/>
                <w:sz w:val="24"/>
                <w:szCs w:val="24"/>
              </w:rPr>
            </w:pPr>
          </w:p>
        </w:tc>
        <w:tc>
          <w:tcPr>
            <w:tcW w:w="6581" w:type="dxa"/>
            <w:vAlign w:val="center"/>
          </w:tcPr>
          <w:p>
            <w:pPr>
              <w:widowControl/>
              <w:jc w:val="left"/>
              <w:rPr>
                <w:rFonts w:ascii="仿宋" w:hAnsi="仿宋" w:eastAsia="仿宋" w:cs="仿宋"/>
                <w:color w:val="000000"/>
                <w:sz w:val="24"/>
                <w:szCs w:val="24"/>
              </w:rPr>
            </w:pPr>
            <w:r>
              <w:rPr>
                <w:rFonts w:hint="eastAsia" w:ascii="仿宋" w:hAnsi="仿宋" w:eastAsia="仿宋" w:cs="仿宋"/>
                <w:color w:val="000000"/>
                <w:sz w:val="24"/>
                <w:szCs w:val="24"/>
              </w:rPr>
              <w:t>2.1.8过期危险化学药品、浓度高的废试剂、剧毒化学品、麻醉品等必须保持原标签完好、清晰，并由原器皿盛装暂存</w:t>
            </w:r>
          </w:p>
        </w:tc>
        <w:tc>
          <w:tcPr>
            <w:tcW w:w="1694" w:type="dxa"/>
            <w:vAlign w:val="center"/>
          </w:tcPr>
          <w:p>
            <w:pPr>
              <w:widowControl/>
              <w:rPr>
                <w:rFonts w:ascii="仿宋" w:hAnsi="仿宋" w:eastAsia="仿宋" w:cs="仿宋"/>
                <w:color w:val="000000"/>
                <w:sz w:val="24"/>
                <w:szCs w:val="24"/>
              </w:rPr>
            </w:pPr>
            <w:r>
              <w:rPr>
                <w:rFonts w:hint="eastAsia" w:ascii="仿宋" w:hAnsi="仿宋" w:eastAsia="仿宋" w:cs="仿宋"/>
                <w:sz w:val="24"/>
                <w:szCs w:val="24"/>
              </w:rPr>
              <w:t>查看现场</w:t>
            </w:r>
          </w:p>
        </w:tc>
        <w:tc>
          <w:tcPr>
            <w:tcW w:w="790" w:type="dxa"/>
          </w:tcPr>
          <w:p>
            <w:pPr>
              <w:rPr>
                <w:rFonts w:ascii="仿宋" w:hAnsi="仿宋" w:eastAsia="仿宋" w:cs="仿宋"/>
                <w:sz w:val="24"/>
                <w:szCs w:val="24"/>
              </w:rPr>
            </w:pPr>
          </w:p>
        </w:tc>
        <w:tc>
          <w:tcPr>
            <w:tcW w:w="940" w:type="dxa"/>
          </w:tcPr>
          <w:p>
            <w:pPr>
              <w:rPr>
                <w:rFonts w:ascii="仿宋" w:hAnsi="仿宋" w:eastAsia="仿宋" w:cs="仿宋"/>
                <w:sz w:val="24"/>
                <w:szCs w:val="24"/>
              </w:rPr>
            </w:pPr>
          </w:p>
        </w:tc>
        <w:tc>
          <w:tcPr>
            <w:tcW w:w="969" w:type="dxa"/>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10" w:hRule="atLeast"/>
        </w:trPr>
        <w:tc>
          <w:tcPr>
            <w:tcW w:w="1273" w:type="dxa"/>
            <w:vMerge w:val="continue"/>
            <w:vAlign w:val="center"/>
          </w:tcPr>
          <w:p>
            <w:pPr>
              <w:rPr>
                <w:rFonts w:ascii="仿宋" w:hAnsi="仿宋" w:eastAsia="仿宋" w:cs="仿宋"/>
                <w:sz w:val="24"/>
                <w:szCs w:val="24"/>
              </w:rPr>
            </w:pPr>
          </w:p>
        </w:tc>
        <w:tc>
          <w:tcPr>
            <w:tcW w:w="1916" w:type="dxa"/>
            <w:vMerge w:val="continue"/>
            <w:vAlign w:val="center"/>
          </w:tcPr>
          <w:p>
            <w:pPr>
              <w:widowControl/>
              <w:jc w:val="left"/>
              <w:rPr>
                <w:rFonts w:ascii="仿宋" w:hAnsi="仿宋" w:eastAsia="仿宋" w:cs="仿宋"/>
                <w:sz w:val="24"/>
                <w:szCs w:val="24"/>
              </w:rPr>
            </w:pPr>
          </w:p>
        </w:tc>
        <w:tc>
          <w:tcPr>
            <w:tcW w:w="6581" w:type="dxa"/>
            <w:vAlign w:val="center"/>
          </w:tcPr>
          <w:p>
            <w:pPr>
              <w:widowControl/>
              <w:jc w:val="left"/>
              <w:rPr>
                <w:rFonts w:ascii="仿宋" w:hAnsi="仿宋" w:eastAsia="仿宋" w:cs="仿宋"/>
                <w:color w:val="000000"/>
                <w:sz w:val="24"/>
                <w:szCs w:val="24"/>
              </w:rPr>
            </w:pPr>
            <w:r>
              <w:rPr>
                <w:rFonts w:hint="eastAsia" w:ascii="仿宋" w:hAnsi="仿宋" w:eastAsia="仿宋" w:cs="仿宋"/>
                <w:color w:val="000000"/>
                <w:sz w:val="24"/>
                <w:szCs w:val="24"/>
              </w:rPr>
              <w:t>2.1.9剧毒品包装及弃用工具必须统一存放、处理</w:t>
            </w:r>
          </w:p>
        </w:tc>
        <w:tc>
          <w:tcPr>
            <w:tcW w:w="1694" w:type="dxa"/>
            <w:vAlign w:val="center"/>
          </w:tcPr>
          <w:p>
            <w:pPr>
              <w:widowControl/>
              <w:rPr>
                <w:rFonts w:ascii="仿宋" w:hAnsi="仿宋" w:eastAsia="仿宋" w:cs="仿宋"/>
                <w:color w:val="000000"/>
                <w:sz w:val="24"/>
                <w:szCs w:val="24"/>
              </w:rPr>
            </w:pPr>
            <w:r>
              <w:rPr>
                <w:rFonts w:hint="eastAsia" w:ascii="仿宋" w:hAnsi="仿宋" w:eastAsia="仿宋" w:cs="仿宋"/>
                <w:sz w:val="24"/>
                <w:szCs w:val="24"/>
              </w:rPr>
              <w:t>查看现场</w:t>
            </w:r>
          </w:p>
        </w:tc>
        <w:tc>
          <w:tcPr>
            <w:tcW w:w="790" w:type="dxa"/>
          </w:tcPr>
          <w:p>
            <w:pPr>
              <w:rPr>
                <w:rFonts w:ascii="仿宋" w:hAnsi="仿宋" w:eastAsia="仿宋" w:cs="仿宋"/>
                <w:sz w:val="24"/>
                <w:szCs w:val="24"/>
              </w:rPr>
            </w:pPr>
          </w:p>
        </w:tc>
        <w:tc>
          <w:tcPr>
            <w:tcW w:w="940" w:type="dxa"/>
          </w:tcPr>
          <w:p>
            <w:pPr>
              <w:rPr>
                <w:rFonts w:ascii="仿宋" w:hAnsi="仿宋" w:eastAsia="仿宋" w:cs="仿宋"/>
                <w:sz w:val="24"/>
                <w:szCs w:val="24"/>
              </w:rPr>
            </w:pPr>
          </w:p>
        </w:tc>
        <w:tc>
          <w:tcPr>
            <w:tcW w:w="969" w:type="dxa"/>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10" w:hRule="atLeast"/>
        </w:trPr>
        <w:tc>
          <w:tcPr>
            <w:tcW w:w="1273" w:type="dxa"/>
            <w:vMerge w:val="continue"/>
            <w:vAlign w:val="center"/>
          </w:tcPr>
          <w:p>
            <w:pPr>
              <w:rPr>
                <w:rFonts w:ascii="仿宋" w:hAnsi="仿宋" w:eastAsia="仿宋" w:cs="仿宋"/>
                <w:sz w:val="24"/>
                <w:szCs w:val="24"/>
              </w:rPr>
            </w:pPr>
          </w:p>
        </w:tc>
        <w:tc>
          <w:tcPr>
            <w:tcW w:w="1916" w:type="dxa"/>
            <w:vMerge w:val="restart"/>
            <w:vAlign w:val="center"/>
          </w:tcPr>
          <w:p>
            <w:pPr>
              <w:widowControl/>
              <w:jc w:val="left"/>
              <w:rPr>
                <w:rFonts w:ascii="仿宋" w:hAnsi="仿宋" w:eastAsia="仿宋" w:cs="仿宋"/>
                <w:sz w:val="24"/>
                <w:szCs w:val="24"/>
              </w:rPr>
            </w:pPr>
            <w:r>
              <w:rPr>
                <w:rFonts w:hint="eastAsia" w:ascii="仿宋" w:hAnsi="仿宋" w:eastAsia="仿宋" w:cs="仿宋"/>
                <w:color w:val="000000"/>
                <w:sz w:val="24"/>
                <w:szCs w:val="24"/>
              </w:rPr>
              <w:t>2.2 生物实验废弃物收集</w:t>
            </w:r>
          </w:p>
        </w:tc>
        <w:tc>
          <w:tcPr>
            <w:tcW w:w="6581" w:type="dxa"/>
            <w:vAlign w:val="bottom"/>
          </w:tcPr>
          <w:p>
            <w:pPr>
              <w:widowControl/>
              <w:jc w:val="left"/>
              <w:rPr>
                <w:rFonts w:ascii="仿宋" w:hAnsi="仿宋" w:eastAsia="仿宋" w:cs="仿宋"/>
                <w:color w:val="000000"/>
                <w:sz w:val="24"/>
                <w:szCs w:val="24"/>
              </w:rPr>
            </w:pPr>
            <w:r>
              <w:rPr>
                <w:rFonts w:hint="eastAsia" w:ascii="仿宋" w:hAnsi="仿宋" w:eastAsia="仿宋" w:cs="仿宋"/>
                <w:color w:val="000000"/>
                <w:sz w:val="24"/>
                <w:szCs w:val="24"/>
              </w:rPr>
              <w:t>2.2.1感染性废弃物必须收集密封，明显标示其名称、主要成分、性质、数量、来源等信息，并予以屏蔽和隔离</w:t>
            </w:r>
          </w:p>
        </w:tc>
        <w:tc>
          <w:tcPr>
            <w:tcW w:w="1694" w:type="dxa"/>
            <w:vAlign w:val="center"/>
          </w:tcPr>
          <w:p>
            <w:pPr>
              <w:widowControl/>
              <w:rPr>
                <w:rFonts w:ascii="仿宋" w:hAnsi="仿宋" w:eastAsia="仿宋" w:cs="仿宋"/>
                <w:color w:val="000000"/>
                <w:sz w:val="24"/>
                <w:szCs w:val="24"/>
              </w:rPr>
            </w:pPr>
            <w:r>
              <w:rPr>
                <w:rFonts w:hint="eastAsia" w:ascii="仿宋" w:hAnsi="仿宋" w:eastAsia="仿宋" w:cs="仿宋"/>
                <w:sz w:val="24"/>
                <w:szCs w:val="24"/>
              </w:rPr>
              <w:t>查看现场</w:t>
            </w:r>
          </w:p>
        </w:tc>
        <w:tc>
          <w:tcPr>
            <w:tcW w:w="790" w:type="dxa"/>
          </w:tcPr>
          <w:p>
            <w:pPr>
              <w:rPr>
                <w:rFonts w:ascii="仿宋" w:hAnsi="仿宋" w:eastAsia="仿宋" w:cs="仿宋"/>
                <w:sz w:val="24"/>
                <w:szCs w:val="24"/>
              </w:rPr>
            </w:pPr>
          </w:p>
        </w:tc>
        <w:tc>
          <w:tcPr>
            <w:tcW w:w="940" w:type="dxa"/>
          </w:tcPr>
          <w:p>
            <w:pPr>
              <w:rPr>
                <w:rFonts w:ascii="仿宋" w:hAnsi="仿宋" w:eastAsia="仿宋" w:cs="仿宋"/>
                <w:sz w:val="24"/>
                <w:szCs w:val="24"/>
              </w:rPr>
            </w:pPr>
          </w:p>
        </w:tc>
        <w:tc>
          <w:tcPr>
            <w:tcW w:w="969" w:type="dxa"/>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10" w:hRule="atLeast"/>
        </w:trPr>
        <w:tc>
          <w:tcPr>
            <w:tcW w:w="1273" w:type="dxa"/>
            <w:vMerge w:val="continue"/>
          </w:tcPr>
          <w:p>
            <w:pPr>
              <w:rPr>
                <w:rFonts w:ascii="仿宋" w:hAnsi="仿宋" w:eastAsia="仿宋" w:cs="仿宋"/>
                <w:sz w:val="24"/>
                <w:szCs w:val="24"/>
              </w:rPr>
            </w:pPr>
          </w:p>
        </w:tc>
        <w:tc>
          <w:tcPr>
            <w:tcW w:w="1916" w:type="dxa"/>
            <w:vMerge w:val="continue"/>
            <w:vAlign w:val="center"/>
          </w:tcPr>
          <w:p>
            <w:pPr>
              <w:widowControl/>
              <w:jc w:val="left"/>
              <w:rPr>
                <w:rFonts w:ascii="仿宋" w:hAnsi="仿宋" w:eastAsia="仿宋" w:cs="仿宋"/>
                <w:sz w:val="24"/>
                <w:szCs w:val="24"/>
              </w:rPr>
            </w:pPr>
          </w:p>
        </w:tc>
        <w:tc>
          <w:tcPr>
            <w:tcW w:w="6581" w:type="dxa"/>
            <w:vAlign w:val="bottom"/>
          </w:tcPr>
          <w:p>
            <w:pPr>
              <w:widowControl/>
              <w:jc w:val="left"/>
              <w:rPr>
                <w:rFonts w:ascii="仿宋" w:hAnsi="仿宋" w:eastAsia="仿宋" w:cs="仿宋"/>
                <w:color w:val="000000"/>
                <w:sz w:val="24"/>
                <w:szCs w:val="24"/>
              </w:rPr>
            </w:pPr>
            <w:r>
              <w:rPr>
                <w:rFonts w:hint="eastAsia" w:ascii="仿宋" w:hAnsi="仿宋" w:eastAsia="仿宋" w:cs="仿宋"/>
                <w:color w:val="000000"/>
                <w:sz w:val="24"/>
                <w:szCs w:val="24"/>
              </w:rPr>
              <w:t>2.2.2正常死亡或处死的动物尸体及其废弃物，用统一的塑料袋密封，放置冰柜冷藏保存</w:t>
            </w:r>
          </w:p>
        </w:tc>
        <w:tc>
          <w:tcPr>
            <w:tcW w:w="1694" w:type="dxa"/>
            <w:vAlign w:val="center"/>
          </w:tcPr>
          <w:p>
            <w:pPr>
              <w:widowControl/>
              <w:rPr>
                <w:rFonts w:ascii="仿宋" w:hAnsi="仿宋" w:eastAsia="仿宋" w:cs="仿宋"/>
                <w:color w:val="000000"/>
                <w:sz w:val="24"/>
                <w:szCs w:val="24"/>
              </w:rPr>
            </w:pPr>
            <w:r>
              <w:rPr>
                <w:rFonts w:hint="eastAsia" w:ascii="仿宋" w:hAnsi="仿宋" w:eastAsia="仿宋" w:cs="仿宋"/>
                <w:sz w:val="24"/>
                <w:szCs w:val="24"/>
              </w:rPr>
              <w:t>查看现场</w:t>
            </w:r>
          </w:p>
        </w:tc>
        <w:tc>
          <w:tcPr>
            <w:tcW w:w="790" w:type="dxa"/>
          </w:tcPr>
          <w:p>
            <w:pPr>
              <w:rPr>
                <w:rFonts w:ascii="仿宋" w:hAnsi="仿宋" w:eastAsia="仿宋" w:cs="仿宋"/>
                <w:sz w:val="24"/>
                <w:szCs w:val="24"/>
              </w:rPr>
            </w:pPr>
          </w:p>
        </w:tc>
        <w:tc>
          <w:tcPr>
            <w:tcW w:w="940" w:type="dxa"/>
          </w:tcPr>
          <w:p>
            <w:pPr>
              <w:rPr>
                <w:rFonts w:ascii="仿宋" w:hAnsi="仿宋" w:eastAsia="仿宋" w:cs="仿宋"/>
                <w:sz w:val="24"/>
                <w:szCs w:val="24"/>
              </w:rPr>
            </w:pPr>
          </w:p>
        </w:tc>
        <w:tc>
          <w:tcPr>
            <w:tcW w:w="969" w:type="dxa"/>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10" w:hRule="atLeast"/>
        </w:trPr>
        <w:tc>
          <w:tcPr>
            <w:tcW w:w="1273" w:type="dxa"/>
            <w:vMerge w:val="continue"/>
          </w:tcPr>
          <w:p>
            <w:pPr>
              <w:rPr>
                <w:rFonts w:ascii="仿宋" w:hAnsi="仿宋" w:eastAsia="仿宋" w:cs="仿宋"/>
                <w:sz w:val="24"/>
                <w:szCs w:val="24"/>
              </w:rPr>
            </w:pPr>
          </w:p>
        </w:tc>
        <w:tc>
          <w:tcPr>
            <w:tcW w:w="1916" w:type="dxa"/>
            <w:vMerge w:val="continue"/>
            <w:vAlign w:val="center"/>
          </w:tcPr>
          <w:p>
            <w:pPr>
              <w:widowControl/>
              <w:jc w:val="left"/>
              <w:rPr>
                <w:rFonts w:ascii="仿宋" w:hAnsi="仿宋" w:eastAsia="仿宋" w:cs="仿宋"/>
                <w:sz w:val="24"/>
                <w:szCs w:val="24"/>
              </w:rPr>
            </w:pPr>
          </w:p>
        </w:tc>
        <w:tc>
          <w:tcPr>
            <w:tcW w:w="6581" w:type="dxa"/>
            <w:vAlign w:val="bottom"/>
          </w:tcPr>
          <w:p>
            <w:pPr>
              <w:widowControl/>
              <w:jc w:val="left"/>
              <w:rPr>
                <w:rFonts w:ascii="仿宋" w:hAnsi="仿宋" w:eastAsia="仿宋" w:cs="仿宋"/>
                <w:color w:val="000000"/>
                <w:sz w:val="24"/>
                <w:szCs w:val="24"/>
              </w:rPr>
            </w:pPr>
            <w:r>
              <w:rPr>
                <w:rFonts w:hint="eastAsia" w:ascii="仿宋" w:hAnsi="仿宋" w:eastAsia="仿宋" w:cs="仿宋"/>
                <w:color w:val="000000"/>
                <w:sz w:val="24"/>
                <w:szCs w:val="24"/>
              </w:rPr>
              <w:t>2.2.3生物病源标本废弃物应及时收集，并按照类别分别置于防渗漏、防锐器穿透等符合环保要求的专用包装物、容器内，并设置明显的危险废弃物警示标识和说明</w:t>
            </w:r>
          </w:p>
        </w:tc>
        <w:tc>
          <w:tcPr>
            <w:tcW w:w="1694" w:type="dxa"/>
            <w:vAlign w:val="center"/>
          </w:tcPr>
          <w:p>
            <w:pPr>
              <w:widowControl/>
              <w:rPr>
                <w:rFonts w:ascii="仿宋" w:hAnsi="仿宋" w:eastAsia="仿宋" w:cs="仿宋"/>
                <w:color w:val="000000"/>
                <w:sz w:val="24"/>
                <w:szCs w:val="24"/>
              </w:rPr>
            </w:pPr>
            <w:r>
              <w:rPr>
                <w:rFonts w:hint="eastAsia" w:ascii="仿宋" w:hAnsi="仿宋" w:eastAsia="仿宋" w:cs="仿宋"/>
                <w:sz w:val="24"/>
                <w:szCs w:val="24"/>
              </w:rPr>
              <w:t>查看现场</w:t>
            </w:r>
          </w:p>
        </w:tc>
        <w:tc>
          <w:tcPr>
            <w:tcW w:w="790" w:type="dxa"/>
          </w:tcPr>
          <w:p>
            <w:pPr>
              <w:rPr>
                <w:rFonts w:ascii="仿宋" w:hAnsi="仿宋" w:eastAsia="仿宋" w:cs="仿宋"/>
                <w:sz w:val="24"/>
                <w:szCs w:val="24"/>
              </w:rPr>
            </w:pPr>
          </w:p>
        </w:tc>
        <w:tc>
          <w:tcPr>
            <w:tcW w:w="940" w:type="dxa"/>
          </w:tcPr>
          <w:p>
            <w:pPr>
              <w:rPr>
                <w:rFonts w:ascii="仿宋" w:hAnsi="仿宋" w:eastAsia="仿宋" w:cs="仿宋"/>
                <w:sz w:val="24"/>
                <w:szCs w:val="24"/>
              </w:rPr>
            </w:pPr>
          </w:p>
        </w:tc>
        <w:tc>
          <w:tcPr>
            <w:tcW w:w="969" w:type="dxa"/>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10" w:hRule="atLeast"/>
        </w:trPr>
        <w:tc>
          <w:tcPr>
            <w:tcW w:w="1273" w:type="dxa"/>
            <w:vMerge w:val="continue"/>
          </w:tcPr>
          <w:p>
            <w:pPr>
              <w:rPr>
                <w:rFonts w:ascii="仿宋" w:hAnsi="仿宋" w:eastAsia="仿宋" w:cs="仿宋"/>
                <w:sz w:val="24"/>
                <w:szCs w:val="24"/>
              </w:rPr>
            </w:pPr>
          </w:p>
        </w:tc>
        <w:tc>
          <w:tcPr>
            <w:tcW w:w="1916" w:type="dxa"/>
            <w:vMerge w:val="continue"/>
            <w:vAlign w:val="center"/>
          </w:tcPr>
          <w:p>
            <w:pPr>
              <w:widowControl/>
              <w:jc w:val="left"/>
              <w:rPr>
                <w:rFonts w:ascii="仿宋" w:hAnsi="仿宋" w:eastAsia="仿宋" w:cs="仿宋"/>
                <w:sz w:val="24"/>
                <w:szCs w:val="24"/>
              </w:rPr>
            </w:pPr>
          </w:p>
        </w:tc>
        <w:tc>
          <w:tcPr>
            <w:tcW w:w="6581" w:type="dxa"/>
            <w:vAlign w:val="bottom"/>
          </w:tcPr>
          <w:p>
            <w:pPr>
              <w:widowControl/>
              <w:jc w:val="left"/>
              <w:rPr>
                <w:rFonts w:ascii="仿宋" w:hAnsi="仿宋" w:eastAsia="仿宋" w:cs="仿宋"/>
                <w:color w:val="000000"/>
                <w:sz w:val="24"/>
                <w:szCs w:val="24"/>
              </w:rPr>
            </w:pPr>
            <w:r>
              <w:rPr>
                <w:rFonts w:hint="eastAsia" w:ascii="仿宋" w:hAnsi="仿宋" w:eastAsia="仿宋" w:cs="仿宋"/>
                <w:color w:val="000000"/>
                <w:sz w:val="24"/>
                <w:szCs w:val="24"/>
              </w:rPr>
              <w:t>2.2.4存放动物尸体的部门应做好登记。包括存放人姓名、存放时间、动物种类、数量以及是否被污染、污染物类型等</w:t>
            </w:r>
          </w:p>
        </w:tc>
        <w:tc>
          <w:tcPr>
            <w:tcW w:w="1694" w:type="dxa"/>
            <w:vAlign w:val="center"/>
          </w:tcPr>
          <w:p>
            <w:pPr>
              <w:widowControl/>
              <w:rPr>
                <w:rFonts w:ascii="仿宋" w:hAnsi="仿宋" w:eastAsia="仿宋" w:cs="仿宋"/>
                <w:color w:val="000000"/>
                <w:sz w:val="24"/>
                <w:szCs w:val="24"/>
              </w:rPr>
            </w:pPr>
            <w:r>
              <w:rPr>
                <w:rFonts w:hint="eastAsia" w:ascii="仿宋" w:hAnsi="仿宋" w:eastAsia="仿宋" w:cs="仿宋"/>
                <w:color w:val="000000"/>
                <w:sz w:val="24"/>
                <w:szCs w:val="24"/>
              </w:rPr>
              <w:t>查看记录</w:t>
            </w:r>
          </w:p>
        </w:tc>
        <w:tc>
          <w:tcPr>
            <w:tcW w:w="790" w:type="dxa"/>
          </w:tcPr>
          <w:p>
            <w:pPr>
              <w:rPr>
                <w:rFonts w:ascii="仿宋" w:hAnsi="仿宋" w:eastAsia="仿宋" w:cs="仿宋"/>
                <w:sz w:val="24"/>
                <w:szCs w:val="24"/>
              </w:rPr>
            </w:pPr>
          </w:p>
        </w:tc>
        <w:tc>
          <w:tcPr>
            <w:tcW w:w="940" w:type="dxa"/>
          </w:tcPr>
          <w:p>
            <w:pPr>
              <w:rPr>
                <w:rFonts w:ascii="仿宋" w:hAnsi="仿宋" w:eastAsia="仿宋" w:cs="仿宋"/>
                <w:sz w:val="24"/>
                <w:szCs w:val="24"/>
              </w:rPr>
            </w:pPr>
          </w:p>
        </w:tc>
        <w:tc>
          <w:tcPr>
            <w:tcW w:w="969" w:type="dxa"/>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10" w:hRule="atLeast"/>
        </w:trPr>
        <w:tc>
          <w:tcPr>
            <w:tcW w:w="1273" w:type="dxa"/>
            <w:vMerge w:val="continue"/>
          </w:tcPr>
          <w:p>
            <w:pPr>
              <w:rPr>
                <w:rFonts w:ascii="仿宋" w:hAnsi="仿宋" w:eastAsia="仿宋" w:cs="仿宋"/>
                <w:sz w:val="24"/>
                <w:szCs w:val="24"/>
              </w:rPr>
            </w:pPr>
          </w:p>
        </w:tc>
        <w:tc>
          <w:tcPr>
            <w:tcW w:w="1916" w:type="dxa"/>
            <w:vMerge w:val="continue"/>
            <w:vAlign w:val="center"/>
          </w:tcPr>
          <w:p>
            <w:pPr>
              <w:jc w:val="left"/>
              <w:rPr>
                <w:rFonts w:ascii="仿宋" w:hAnsi="仿宋" w:eastAsia="仿宋" w:cs="仿宋"/>
                <w:sz w:val="24"/>
                <w:szCs w:val="24"/>
              </w:rPr>
            </w:pPr>
          </w:p>
        </w:tc>
        <w:tc>
          <w:tcPr>
            <w:tcW w:w="6581" w:type="dxa"/>
            <w:vAlign w:val="bottom"/>
          </w:tcPr>
          <w:p>
            <w:pPr>
              <w:widowControl/>
              <w:jc w:val="left"/>
              <w:rPr>
                <w:rFonts w:ascii="仿宋" w:hAnsi="仿宋" w:eastAsia="仿宋" w:cs="仿宋"/>
                <w:color w:val="000000"/>
                <w:sz w:val="24"/>
                <w:szCs w:val="24"/>
              </w:rPr>
            </w:pPr>
            <w:r>
              <w:rPr>
                <w:rFonts w:hint="eastAsia" w:ascii="仿宋" w:hAnsi="仿宋" w:eastAsia="仿宋" w:cs="仿宋"/>
                <w:color w:val="000000"/>
                <w:sz w:val="24"/>
                <w:szCs w:val="24"/>
              </w:rPr>
              <w:t>2.2.5在存放冰柜的显著位置标示“实验动物尸体及废弃物专用”警示标志并摆放“动物尸体及废弃物存放登记表”，冰柜内不得放置其它物品</w:t>
            </w:r>
          </w:p>
        </w:tc>
        <w:tc>
          <w:tcPr>
            <w:tcW w:w="1694" w:type="dxa"/>
            <w:vAlign w:val="center"/>
          </w:tcPr>
          <w:p>
            <w:pPr>
              <w:widowControl/>
              <w:rPr>
                <w:rFonts w:ascii="仿宋" w:hAnsi="仿宋" w:eastAsia="仿宋" w:cs="仿宋"/>
                <w:color w:val="000000"/>
                <w:sz w:val="24"/>
                <w:szCs w:val="24"/>
              </w:rPr>
            </w:pPr>
            <w:r>
              <w:rPr>
                <w:rFonts w:hint="eastAsia" w:ascii="仿宋" w:hAnsi="仿宋" w:eastAsia="仿宋" w:cs="仿宋"/>
                <w:sz w:val="24"/>
                <w:szCs w:val="24"/>
              </w:rPr>
              <w:t>查看记录及现场</w:t>
            </w:r>
          </w:p>
        </w:tc>
        <w:tc>
          <w:tcPr>
            <w:tcW w:w="790" w:type="dxa"/>
          </w:tcPr>
          <w:p>
            <w:pPr>
              <w:rPr>
                <w:rFonts w:ascii="仿宋" w:hAnsi="仿宋" w:eastAsia="仿宋" w:cs="仿宋"/>
                <w:sz w:val="24"/>
                <w:szCs w:val="24"/>
              </w:rPr>
            </w:pPr>
          </w:p>
        </w:tc>
        <w:tc>
          <w:tcPr>
            <w:tcW w:w="940" w:type="dxa"/>
          </w:tcPr>
          <w:p>
            <w:pPr>
              <w:rPr>
                <w:rFonts w:ascii="仿宋" w:hAnsi="仿宋" w:eastAsia="仿宋" w:cs="仿宋"/>
                <w:sz w:val="24"/>
                <w:szCs w:val="24"/>
              </w:rPr>
            </w:pPr>
          </w:p>
        </w:tc>
        <w:tc>
          <w:tcPr>
            <w:tcW w:w="969" w:type="dxa"/>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10" w:hRule="atLeast"/>
        </w:trPr>
        <w:tc>
          <w:tcPr>
            <w:tcW w:w="1273" w:type="dxa"/>
            <w:vMerge w:val="restart"/>
            <w:vAlign w:val="center"/>
          </w:tcPr>
          <w:p>
            <w:pPr>
              <w:jc w:val="center"/>
              <w:rPr>
                <w:rFonts w:ascii="仿宋" w:hAnsi="仿宋" w:eastAsia="仿宋" w:cs="仿宋"/>
                <w:sz w:val="24"/>
                <w:szCs w:val="24"/>
              </w:rPr>
            </w:pPr>
            <w:r>
              <w:rPr>
                <w:rFonts w:hint="eastAsia" w:ascii="仿宋" w:hAnsi="仿宋" w:eastAsia="仿宋" w:cs="仿宋"/>
                <w:sz w:val="24"/>
                <w:szCs w:val="24"/>
              </w:rPr>
              <w:t>3.废弃物存储</w:t>
            </w:r>
          </w:p>
        </w:tc>
        <w:tc>
          <w:tcPr>
            <w:tcW w:w="1916" w:type="dxa"/>
            <w:vMerge w:val="restart"/>
            <w:vAlign w:val="center"/>
          </w:tcPr>
          <w:p>
            <w:pPr>
              <w:jc w:val="left"/>
              <w:rPr>
                <w:rFonts w:ascii="仿宋" w:hAnsi="仿宋" w:eastAsia="仿宋" w:cs="仿宋"/>
                <w:sz w:val="24"/>
                <w:szCs w:val="24"/>
              </w:rPr>
            </w:pPr>
            <w:r>
              <w:rPr>
                <w:rFonts w:hint="eastAsia" w:ascii="仿宋" w:hAnsi="仿宋" w:eastAsia="仿宋" w:cs="仿宋"/>
                <w:color w:val="000000"/>
                <w:sz w:val="24"/>
                <w:szCs w:val="24"/>
              </w:rPr>
              <w:t>3.1 存储要求</w:t>
            </w:r>
          </w:p>
        </w:tc>
        <w:tc>
          <w:tcPr>
            <w:tcW w:w="6581" w:type="dxa"/>
            <w:vAlign w:val="bottom"/>
          </w:tcPr>
          <w:p>
            <w:pPr>
              <w:widowControl/>
              <w:jc w:val="left"/>
              <w:rPr>
                <w:rFonts w:ascii="仿宋" w:hAnsi="仿宋" w:eastAsia="仿宋" w:cs="仿宋"/>
                <w:color w:val="000000"/>
                <w:sz w:val="24"/>
                <w:szCs w:val="24"/>
              </w:rPr>
            </w:pPr>
            <w:r>
              <w:rPr>
                <w:rFonts w:hint="eastAsia" w:ascii="仿宋" w:hAnsi="仿宋" w:eastAsia="仿宋" w:cs="仿宋"/>
                <w:color w:val="000000"/>
                <w:sz w:val="24"/>
                <w:szCs w:val="24"/>
              </w:rPr>
              <w:t>3.1.1暂存库房或室内专区，应保持通风，避免高温、日晒、雨淋，远离火源及生活垃圾</w:t>
            </w:r>
          </w:p>
        </w:tc>
        <w:tc>
          <w:tcPr>
            <w:tcW w:w="1694" w:type="dxa"/>
            <w:vAlign w:val="center"/>
          </w:tcPr>
          <w:p>
            <w:pPr>
              <w:rPr>
                <w:rFonts w:ascii="仿宋" w:hAnsi="仿宋" w:eastAsia="仿宋" w:cs="仿宋"/>
                <w:sz w:val="24"/>
                <w:szCs w:val="24"/>
              </w:rPr>
            </w:pPr>
            <w:r>
              <w:rPr>
                <w:rFonts w:hint="eastAsia" w:ascii="仿宋" w:hAnsi="仿宋" w:eastAsia="仿宋" w:cs="仿宋"/>
                <w:sz w:val="24"/>
                <w:szCs w:val="24"/>
              </w:rPr>
              <w:t>查看现场</w:t>
            </w:r>
          </w:p>
        </w:tc>
        <w:tc>
          <w:tcPr>
            <w:tcW w:w="790" w:type="dxa"/>
            <w:vAlign w:val="center"/>
          </w:tcPr>
          <w:p>
            <w:pPr>
              <w:widowControl/>
              <w:jc w:val="center"/>
              <w:rPr>
                <w:rFonts w:ascii="仿宋" w:hAnsi="仿宋" w:eastAsia="仿宋" w:cs="仿宋"/>
                <w:sz w:val="24"/>
                <w:szCs w:val="24"/>
              </w:rPr>
            </w:pPr>
          </w:p>
        </w:tc>
        <w:tc>
          <w:tcPr>
            <w:tcW w:w="940" w:type="dxa"/>
            <w:vAlign w:val="center"/>
          </w:tcPr>
          <w:p>
            <w:pPr>
              <w:widowControl/>
              <w:jc w:val="center"/>
              <w:rPr>
                <w:rFonts w:ascii="仿宋" w:hAnsi="仿宋" w:eastAsia="仿宋" w:cs="仿宋"/>
                <w:sz w:val="24"/>
                <w:szCs w:val="24"/>
              </w:rPr>
            </w:pPr>
          </w:p>
        </w:tc>
        <w:tc>
          <w:tcPr>
            <w:tcW w:w="969" w:type="dxa"/>
            <w:vAlign w:val="center"/>
          </w:tcPr>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10" w:hRule="atLeast"/>
        </w:trPr>
        <w:tc>
          <w:tcPr>
            <w:tcW w:w="1273" w:type="dxa"/>
            <w:vMerge w:val="continue"/>
          </w:tcPr>
          <w:p>
            <w:pPr>
              <w:rPr>
                <w:rFonts w:ascii="仿宋" w:hAnsi="仿宋" w:eastAsia="仿宋" w:cs="仿宋"/>
                <w:sz w:val="24"/>
                <w:szCs w:val="24"/>
              </w:rPr>
            </w:pPr>
          </w:p>
        </w:tc>
        <w:tc>
          <w:tcPr>
            <w:tcW w:w="1916" w:type="dxa"/>
            <w:vMerge w:val="continue"/>
            <w:vAlign w:val="center"/>
          </w:tcPr>
          <w:p>
            <w:pPr>
              <w:jc w:val="left"/>
              <w:rPr>
                <w:rFonts w:ascii="仿宋" w:hAnsi="仿宋" w:eastAsia="仿宋" w:cs="仿宋"/>
                <w:sz w:val="24"/>
                <w:szCs w:val="24"/>
              </w:rPr>
            </w:pPr>
          </w:p>
        </w:tc>
        <w:tc>
          <w:tcPr>
            <w:tcW w:w="6581" w:type="dxa"/>
            <w:vAlign w:val="bottom"/>
          </w:tcPr>
          <w:p>
            <w:pPr>
              <w:widowControl/>
              <w:jc w:val="left"/>
              <w:rPr>
                <w:rFonts w:ascii="仿宋" w:hAnsi="仿宋" w:eastAsia="仿宋" w:cs="仿宋"/>
                <w:color w:val="000000"/>
                <w:sz w:val="24"/>
                <w:szCs w:val="24"/>
              </w:rPr>
            </w:pPr>
            <w:r>
              <w:rPr>
                <w:rFonts w:hint="eastAsia" w:ascii="仿宋" w:hAnsi="仿宋" w:eastAsia="仿宋" w:cs="仿宋"/>
                <w:color w:val="000000"/>
                <w:sz w:val="24"/>
                <w:szCs w:val="24"/>
              </w:rPr>
              <w:t>3.1.2暂存危险废弃物应严格分类收集、暂存，避免不相容性危险废弃物近距离存放</w:t>
            </w:r>
          </w:p>
        </w:tc>
        <w:tc>
          <w:tcPr>
            <w:tcW w:w="1694" w:type="dxa"/>
            <w:vAlign w:val="center"/>
          </w:tcPr>
          <w:p>
            <w:pPr>
              <w:rPr>
                <w:rFonts w:ascii="仿宋" w:hAnsi="仿宋" w:eastAsia="仿宋" w:cs="仿宋"/>
                <w:sz w:val="24"/>
                <w:szCs w:val="24"/>
              </w:rPr>
            </w:pPr>
            <w:r>
              <w:rPr>
                <w:rFonts w:hint="eastAsia" w:ascii="仿宋" w:hAnsi="仿宋" w:eastAsia="仿宋" w:cs="仿宋"/>
                <w:sz w:val="24"/>
                <w:szCs w:val="24"/>
              </w:rPr>
              <w:t>查看现场</w:t>
            </w:r>
          </w:p>
        </w:tc>
        <w:tc>
          <w:tcPr>
            <w:tcW w:w="790" w:type="dxa"/>
            <w:vAlign w:val="center"/>
          </w:tcPr>
          <w:p>
            <w:pPr>
              <w:widowControl/>
              <w:jc w:val="center"/>
              <w:rPr>
                <w:rFonts w:ascii="仿宋" w:hAnsi="仿宋" w:eastAsia="仿宋" w:cs="仿宋"/>
                <w:sz w:val="24"/>
                <w:szCs w:val="24"/>
              </w:rPr>
            </w:pPr>
          </w:p>
        </w:tc>
        <w:tc>
          <w:tcPr>
            <w:tcW w:w="940" w:type="dxa"/>
            <w:vAlign w:val="center"/>
          </w:tcPr>
          <w:p>
            <w:pPr>
              <w:widowControl/>
              <w:jc w:val="center"/>
              <w:rPr>
                <w:rFonts w:ascii="仿宋" w:hAnsi="仿宋" w:eastAsia="仿宋" w:cs="仿宋"/>
                <w:sz w:val="24"/>
                <w:szCs w:val="24"/>
              </w:rPr>
            </w:pPr>
          </w:p>
        </w:tc>
        <w:tc>
          <w:tcPr>
            <w:tcW w:w="969" w:type="dxa"/>
            <w:vAlign w:val="center"/>
          </w:tcPr>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10" w:hRule="atLeast"/>
        </w:trPr>
        <w:tc>
          <w:tcPr>
            <w:tcW w:w="1273" w:type="dxa"/>
            <w:vMerge w:val="continue"/>
          </w:tcPr>
          <w:p>
            <w:pPr>
              <w:rPr>
                <w:rFonts w:ascii="仿宋" w:hAnsi="仿宋" w:eastAsia="仿宋" w:cs="仿宋"/>
                <w:sz w:val="24"/>
                <w:szCs w:val="24"/>
              </w:rPr>
            </w:pPr>
          </w:p>
        </w:tc>
        <w:tc>
          <w:tcPr>
            <w:tcW w:w="1916" w:type="dxa"/>
            <w:vMerge w:val="continue"/>
            <w:vAlign w:val="center"/>
          </w:tcPr>
          <w:p>
            <w:pPr>
              <w:jc w:val="left"/>
              <w:rPr>
                <w:rFonts w:ascii="仿宋" w:hAnsi="仿宋" w:eastAsia="仿宋" w:cs="仿宋"/>
                <w:sz w:val="24"/>
                <w:szCs w:val="24"/>
              </w:rPr>
            </w:pPr>
          </w:p>
        </w:tc>
        <w:tc>
          <w:tcPr>
            <w:tcW w:w="6581" w:type="dxa"/>
            <w:vAlign w:val="bottom"/>
          </w:tcPr>
          <w:p>
            <w:pPr>
              <w:widowControl/>
              <w:jc w:val="left"/>
              <w:rPr>
                <w:rFonts w:ascii="仿宋" w:hAnsi="仿宋" w:eastAsia="仿宋" w:cs="仿宋"/>
                <w:color w:val="000000"/>
                <w:sz w:val="24"/>
                <w:szCs w:val="24"/>
              </w:rPr>
            </w:pPr>
            <w:r>
              <w:rPr>
                <w:rFonts w:hint="eastAsia" w:ascii="仿宋" w:hAnsi="仿宋" w:eastAsia="仿宋" w:cs="仿宋"/>
                <w:color w:val="000000"/>
                <w:sz w:val="24"/>
                <w:szCs w:val="24"/>
              </w:rPr>
              <w:t>3.1.3暂存危险废弃物容器上需明确标识危险废弃物的名称、重量、危险类别、注意事项，建立相应的防护设施</w:t>
            </w:r>
          </w:p>
        </w:tc>
        <w:tc>
          <w:tcPr>
            <w:tcW w:w="1694" w:type="dxa"/>
            <w:vAlign w:val="center"/>
          </w:tcPr>
          <w:p>
            <w:pPr>
              <w:rPr>
                <w:rFonts w:ascii="仿宋" w:hAnsi="仿宋" w:eastAsia="仿宋" w:cs="仿宋"/>
                <w:sz w:val="24"/>
                <w:szCs w:val="24"/>
              </w:rPr>
            </w:pPr>
            <w:r>
              <w:rPr>
                <w:rFonts w:hint="eastAsia" w:ascii="仿宋" w:hAnsi="仿宋" w:eastAsia="仿宋" w:cs="仿宋"/>
                <w:sz w:val="24"/>
                <w:szCs w:val="24"/>
              </w:rPr>
              <w:t>查看现场</w:t>
            </w:r>
          </w:p>
        </w:tc>
        <w:tc>
          <w:tcPr>
            <w:tcW w:w="790" w:type="dxa"/>
            <w:vAlign w:val="center"/>
          </w:tcPr>
          <w:p>
            <w:pPr>
              <w:widowControl/>
              <w:jc w:val="center"/>
              <w:rPr>
                <w:rFonts w:ascii="仿宋" w:hAnsi="仿宋" w:eastAsia="仿宋" w:cs="仿宋"/>
                <w:sz w:val="24"/>
                <w:szCs w:val="24"/>
              </w:rPr>
            </w:pPr>
          </w:p>
        </w:tc>
        <w:tc>
          <w:tcPr>
            <w:tcW w:w="940" w:type="dxa"/>
            <w:vAlign w:val="center"/>
          </w:tcPr>
          <w:p>
            <w:pPr>
              <w:widowControl/>
              <w:jc w:val="center"/>
              <w:rPr>
                <w:rFonts w:ascii="仿宋" w:hAnsi="仿宋" w:eastAsia="仿宋" w:cs="仿宋"/>
                <w:sz w:val="24"/>
                <w:szCs w:val="24"/>
              </w:rPr>
            </w:pPr>
          </w:p>
        </w:tc>
        <w:tc>
          <w:tcPr>
            <w:tcW w:w="969" w:type="dxa"/>
            <w:vAlign w:val="center"/>
          </w:tcPr>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11" w:hRule="atLeast"/>
        </w:trPr>
        <w:tc>
          <w:tcPr>
            <w:tcW w:w="1273" w:type="dxa"/>
            <w:vMerge w:val="continue"/>
          </w:tcPr>
          <w:p>
            <w:pPr>
              <w:rPr>
                <w:rFonts w:ascii="仿宋" w:hAnsi="仿宋" w:eastAsia="仿宋" w:cs="仿宋"/>
                <w:sz w:val="24"/>
                <w:szCs w:val="24"/>
              </w:rPr>
            </w:pPr>
          </w:p>
        </w:tc>
        <w:tc>
          <w:tcPr>
            <w:tcW w:w="1916" w:type="dxa"/>
            <w:vAlign w:val="center"/>
          </w:tcPr>
          <w:p>
            <w:pPr>
              <w:jc w:val="left"/>
              <w:rPr>
                <w:rFonts w:ascii="仿宋" w:hAnsi="仿宋" w:eastAsia="仿宋" w:cs="仿宋"/>
                <w:sz w:val="24"/>
                <w:szCs w:val="24"/>
              </w:rPr>
            </w:pPr>
            <w:r>
              <w:rPr>
                <w:rFonts w:hint="eastAsia" w:ascii="仿宋" w:hAnsi="仿宋" w:eastAsia="仿宋" w:cs="仿宋"/>
                <w:color w:val="000000"/>
                <w:sz w:val="24"/>
                <w:szCs w:val="24"/>
              </w:rPr>
              <w:t>3.2 标识张贴</w:t>
            </w:r>
          </w:p>
        </w:tc>
        <w:tc>
          <w:tcPr>
            <w:tcW w:w="6581" w:type="dxa"/>
            <w:vAlign w:val="bottom"/>
          </w:tcPr>
          <w:p>
            <w:pPr>
              <w:widowControl/>
              <w:jc w:val="left"/>
              <w:rPr>
                <w:rFonts w:ascii="仿宋" w:hAnsi="仿宋" w:eastAsia="仿宋" w:cs="仿宋"/>
                <w:color w:val="000000"/>
                <w:sz w:val="24"/>
                <w:szCs w:val="24"/>
              </w:rPr>
            </w:pPr>
            <w:r>
              <w:rPr>
                <w:rFonts w:hint="eastAsia" w:ascii="仿宋" w:hAnsi="仿宋" w:eastAsia="仿宋" w:cs="仿宋"/>
                <w:color w:val="000000"/>
                <w:sz w:val="24"/>
                <w:szCs w:val="24"/>
              </w:rPr>
              <w:t>3.2.1暂存危险废弃物库房外部应张贴醒目的警告标志，库房内张贴危险废弃物管理制度、危险废弃物意外事故防范措施和应急预案</w:t>
            </w:r>
          </w:p>
        </w:tc>
        <w:tc>
          <w:tcPr>
            <w:tcW w:w="1694" w:type="dxa"/>
            <w:vAlign w:val="center"/>
          </w:tcPr>
          <w:p>
            <w:pPr>
              <w:rPr>
                <w:rFonts w:ascii="仿宋" w:hAnsi="仿宋" w:eastAsia="仿宋" w:cs="仿宋"/>
                <w:sz w:val="24"/>
                <w:szCs w:val="24"/>
              </w:rPr>
            </w:pPr>
            <w:r>
              <w:rPr>
                <w:rFonts w:hint="eastAsia" w:ascii="仿宋" w:hAnsi="仿宋" w:eastAsia="仿宋" w:cs="仿宋"/>
                <w:sz w:val="24"/>
                <w:szCs w:val="24"/>
              </w:rPr>
              <w:t>查看现场</w:t>
            </w:r>
          </w:p>
        </w:tc>
        <w:tc>
          <w:tcPr>
            <w:tcW w:w="790" w:type="dxa"/>
            <w:vAlign w:val="center"/>
          </w:tcPr>
          <w:p>
            <w:pPr>
              <w:widowControl/>
              <w:jc w:val="center"/>
              <w:rPr>
                <w:rFonts w:ascii="仿宋" w:hAnsi="仿宋" w:eastAsia="仿宋" w:cs="仿宋"/>
                <w:sz w:val="24"/>
                <w:szCs w:val="24"/>
              </w:rPr>
            </w:pPr>
          </w:p>
        </w:tc>
        <w:tc>
          <w:tcPr>
            <w:tcW w:w="940" w:type="dxa"/>
            <w:vAlign w:val="center"/>
          </w:tcPr>
          <w:p>
            <w:pPr>
              <w:widowControl/>
              <w:jc w:val="center"/>
              <w:rPr>
                <w:rFonts w:ascii="仿宋" w:hAnsi="仿宋" w:eastAsia="仿宋" w:cs="仿宋"/>
                <w:sz w:val="24"/>
                <w:szCs w:val="24"/>
              </w:rPr>
            </w:pPr>
          </w:p>
        </w:tc>
        <w:tc>
          <w:tcPr>
            <w:tcW w:w="969" w:type="dxa"/>
            <w:vAlign w:val="center"/>
          </w:tcPr>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82" w:hRule="atLeast"/>
        </w:trPr>
        <w:tc>
          <w:tcPr>
            <w:tcW w:w="1273" w:type="dxa"/>
            <w:vAlign w:val="center"/>
          </w:tcPr>
          <w:p>
            <w:pPr>
              <w:adjustRightInd w:val="0"/>
              <w:snapToGrid w:val="0"/>
              <w:jc w:val="center"/>
              <w:rPr>
                <w:rFonts w:ascii="仿宋" w:hAnsi="仿宋" w:eastAsia="仿宋" w:cs="仿宋"/>
                <w:sz w:val="24"/>
                <w:szCs w:val="24"/>
              </w:rPr>
            </w:pPr>
            <w:r>
              <w:rPr>
                <w:rFonts w:hint="eastAsia" w:ascii="仿宋" w:hAnsi="仿宋" w:eastAsia="仿宋" w:cs="仿宋"/>
                <w:sz w:val="24"/>
                <w:szCs w:val="24"/>
              </w:rPr>
              <w:t>合计3项</w:t>
            </w:r>
          </w:p>
        </w:tc>
        <w:tc>
          <w:tcPr>
            <w:tcW w:w="1916" w:type="dxa"/>
            <w:vAlign w:val="center"/>
          </w:tcPr>
          <w:p>
            <w:pPr>
              <w:adjustRightInd w:val="0"/>
              <w:snapToGrid w:val="0"/>
              <w:jc w:val="center"/>
              <w:rPr>
                <w:rFonts w:ascii="仿宋" w:hAnsi="仿宋" w:eastAsia="仿宋" w:cs="仿宋"/>
                <w:sz w:val="24"/>
                <w:szCs w:val="24"/>
              </w:rPr>
            </w:pPr>
            <w:r>
              <w:rPr>
                <w:rFonts w:hint="eastAsia" w:ascii="仿宋" w:hAnsi="仿宋" w:eastAsia="仿宋" w:cs="仿宋"/>
                <w:sz w:val="24"/>
                <w:szCs w:val="24"/>
              </w:rPr>
              <w:t>7项</w:t>
            </w:r>
          </w:p>
        </w:tc>
        <w:tc>
          <w:tcPr>
            <w:tcW w:w="6581" w:type="dxa"/>
            <w:vAlign w:val="center"/>
          </w:tcPr>
          <w:p>
            <w:pPr>
              <w:adjustRightInd w:val="0"/>
              <w:snapToGrid w:val="0"/>
              <w:jc w:val="center"/>
              <w:rPr>
                <w:rFonts w:ascii="仿宋" w:hAnsi="仿宋" w:eastAsia="仿宋" w:cs="仿宋"/>
                <w:sz w:val="24"/>
                <w:szCs w:val="24"/>
              </w:rPr>
            </w:pPr>
            <w:r>
              <w:rPr>
                <w:rFonts w:hint="eastAsia" w:ascii="仿宋" w:hAnsi="仿宋" w:eastAsia="仿宋" w:cs="仿宋"/>
                <w:sz w:val="24"/>
                <w:szCs w:val="24"/>
              </w:rPr>
              <w:t>27条</w:t>
            </w:r>
          </w:p>
        </w:tc>
        <w:tc>
          <w:tcPr>
            <w:tcW w:w="1694" w:type="dxa"/>
          </w:tcPr>
          <w:p>
            <w:pPr>
              <w:rPr>
                <w:rFonts w:ascii="仿宋" w:hAnsi="仿宋" w:eastAsia="仿宋" w:cs="仿宋"/>
                <w:sz w:val="24"/>
                <w:szCs w:val="24"/>
              </w:rPr>
            </w:pPr>
          </w:p>
        </w:tc>
        <w:tc>
          <w:tcPr>
            <w:tcW w:w="2699" w:type="dxa"/>
            <w:gridSpan w:val="3"/>
          </w:tcPr>
          <w:p>
            <w:pPr>
              <w:rPr>
                <w:rFonts w:ascii="仿宋" w:hAnsi="仿宋" w:eastAsia="仿宋" w:cs="仿宋"/>
                <w:sz w:val="24"/>
                <w:szCs w:val="24"/>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altName w:val="汉仪书宋二KW"/>
    <w:panose1 w:val="02000000000000000000"/>
    <w:charset w:val="86"/>
    <w:family w:val="auto"/>
    <w:pitch w:val="default"/>
    <w:sig w:usb0="00000001" w:usb1="08000000" w:usb2="00000000" w:usb3="00000000" w:csb0="00040000"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Arial">
    <w:panose1 w:val="020B0604020202090204"/>
    <w:charset w:val="00"/>
    <w:family w:val="swiss"/>
    <w:pitch w:val="default"/>
    <w:sig w:usb0="E0000AFF" w:usb1="00007843" w:usb2="00000001" w:usb3="00000000" w:csb0="400001BF" w:csb1="DFF70000"/>
  </w:font>
  <w:font w:name="仿宋">
    <w:altName w:val="汉仪仿宋KW"/>
    <w:panose1 w:val="02010609060101010101"/>
    <w:charset w:val="86"/>
    <w:family w:val="modern"/>
    <w:pitch w:val="default"/>
    <w:sig w:usb0="00000000" w:usb1="00000000" w:usb2="00000016" w:usb3="00000000" w:csb0="00040001" w:csb1="00000000"/>
  </w:font>
  <w:font w:name="仿宋_GB2312">
    <w:altName w:val="汉仪仿宋KW"/>
    <w:panose1 w:val="02010609030101010101"/>
    <w:charset w:val="86"/>
    <w:family w:val="modern"/>
    <w:pitch w:val="default"/>
    <w:sig w:usb0="00000000" w:usb1="00000000" w:usb2="00000000" w:usb3="00000000" w:csb0="00040000" w:csb1="00000000"/>
  </w:font>
  <w:font w:name="Tahoma">
    <w:panose1 w:val="020B0804030504040204"/>
    <w:charset w:val="00"/>
    <w:family w:val="swiss"/>
    <w:pitch w:val="default"/>
    <w:sig w:usb0="E1002AFF" w:usb1="C000605B" w:usb2="00000029" w:usb3="00000000" w:csb0="200101FF" w:csb1="20280000"/>
  </w:font>
  <w:font w:name="微软雅黑">
    <w:altName w:val="汉仪旗黑KW"/>
    <w:panose1 w:val="020B0503020204020204"/>
    <w:charset w:val="86"/>
    <w:family w:val="auto"/>
    <w:pitch w:val="default"/>
    <w:sig w:usb0="00000000" w:usb1="00000000" w:usb2="00000016" w:usb3="00000000" w:csb0="0004001F" w:csb1="00000000"/>
  </w:font>
  <w:font w:name="汉仪中黑KW">
    <w:panose1 w:val="00020600040101010101"/>
    <w:charset w:val="86"/>
    <w:family w:val="auto"/>
    <w:pitch w:val="default"/>
    <w:sig w:usb0="A00002BF" w:usb1="18EF7CFA" w:usb2="00000016" w:usb3="00000000" w:csb0="00040000" w:csb1="00000000"/>
  </w:font>
  <w:font w:name="汉仪仿宋KW">
    <w:panose1 w:val="00020600040101010101"/>
    <w:charset w:val="86"/>
    <w:family w:val="auto"/>
    <w:pitch w:val="default"/>
    <w:sig w:usb0="A00002BF" w:usb1="18EF7CFA" w:usb2="00000016" w:usb3="00000000" w:csb0="00040000" w:csb1="00000000"/>
  </w:font>
  <w:font w:name="宋体-简">
    <w:panose1 w:val="02010800040101010101"/>
    <w:charset w:val="86"/>
    <w:family w:val="auto"/>
    <w:pitch w:val="default"/>
    <w:sig w:usb0="00000001" w:usb1="080F0000" w:usb2="00000000" w:usb3="00000000" w:csb0="00040000" w:csb1="00000000"/>
  </w:font>
  <w:font w:name="Apple Color Emoji">
    <w:panose1 w:val="00000000000000000000"/>
    <w:charset w:val="00"/>
    <w:family w:val="auto"/>
    <w:pitch w:val="default"/>
    <w:sig w:usb0="00000003" w:usb1="18000000" w:usb2="14000000" w:usb3="00000000" w:csb0="00000001" w:csb1="00000000"/>
  </w:font>
  <w:font w:name="汉仪旗黑KW">
    <w:panose1 w:val="00020600040101010101"/>
    <w:charset w:val="86"/>
    <w:family w:val="auto"/>
    <w:pitch w:val="default"/>
    <w:sig w:usb0="A00002BF" w:usb1="3ACF7CFA" w:usb2="00000016"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E881D6"/>
    <w:rsid w:val="7EE88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table" w:styleId="4">
    <w:name w:val="Table Grid"/>
    <w:basedOn w:val="3"/>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Office_1.2.1.1575_F1E327BC-269C-435d-A152-05C5408002CA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2020-12-23T10:22:00Z</dcterms:created>
  <dc:creator>shitan</dc:creator>
  <cp:lastModifiedBy>shitan</cp:lastModifiedBy>
  <dcterms:modified xsi:type="dcterms:W3CDTF">2020-12-23T10:33:50Z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2052-1.2.1.1575</vt:lpwstr>
  </property>
</Properties>
</file>