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s="黑体"/>
          <w:sz w:val="44"/>
          <w:szCs w:val="44"/>
        </w:rPr>
      </w:pPr>
      <w:bookmarkStart w:id="0" w:name="_GoBack"/>
      <w:r>
        <w:rPr>
          <w:rFonts w:hint="eastAsia" w:ascii="黑体" w:hAnsi="黑体" w:eastAsia="黑体" w:cs="黑体"/>
          <w:sz w:val="44"/>
          <w:szCs w:val="44"/>
        </w:rPr>
        <w:t>东北大学特种设备检查规范（试行）</w:t>
      </w:r>
      <w:bookmarkEnd w:id="0"/>
    </w:p>
    <w:tbl>
      <w:tblPr>
        <w:tblStyle w:val="3"/>
        <w:tblW w:w="1416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1"/>
        <w:gridCol w:w="1460"/>
        <w:gridCol w:w="7387"/>
        <w:gridCol w:w="1442"/>
        <w:gridCol w:w="717"/>
        <w:gridCol w:w="1000"/>
        <w:gridCol w:w="9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12" w:hRule="atLeast"/>
          <w:tblHeader/>
        </w:trPr>
        <w:tc>
          <w:tcPr>
            <w:tcW w:w="1191" w:type="dxa"/>
            <w:vMerge w:val="restart"/>
            <w:tcBorders>
              <w:tl2br w:val="nil"/>
              <w:tr2bl w:val="nil"/>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一级指标</w:t>
            </w:r>
          </w:p>
        </w:tc>
        <w:tc>
          <w:tcPr>
            <w:tcW w:w="1460" w:type="dxa"/>
            <w:vMerge w:val="restart"/>
            <w:tcBorders>
              <w:tl2br w:val="nil"/>
              <w:tr2bl w:val="nil"/>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二级指标</w:t>
            </w:r>
          </w:p>
        </w:tc>
        <w:tc>
          <w:tcPr>
            <w:tcW w:w="7387" w:type="dxa"/>
            <w:vMerge w:val="restart"/>
            <w:tcBorders>
              <w:tl2br w:val="nil"/>
              <w:tr2bl w:val="nil"/>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检查项目</w:t>
            </w:r>
          </w:p>
        </w:tc>
        <w:tc>
          <w:tcPr>
            <w:tcW w:w="1442" w:type="dxa"/>
            <w:vMerge w:val="restart"/>
            <w:tcBorders>
              <w:tl2br w:val="nil"/>
              <w:tr2bl w:val="nil"/>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检查要点</w:t>
            </w:r>
          </w:p>
        </w:tc>
        <w:tc>
          <w:tcPr>
            <w:tcW w:w="2683" w:type="dxa"/>
            <w:gridSpan w:val="3"/>
            <w:tcBorders>
              <w:tl2br w:val="nil"/>
              <w:tr2bl w:val="nil"/>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sz w:val="24"/>
                <w:szCs w:val="24"/>
              </w:rPr>
              <w:t>检查结果</w:t>
            </w:r>
          </w:p>
        </w:tc>
      </w:tr>
      <w:tr>
        <w:tblPrEx>
          <w:tblLayout w:type="fixed"/>
        </w:tblPrEx>
        <w:trPr>
          <w:trHeight w:val="90" w:hRule="atLeast"/>
          <w:tblHeader/>
        </w:trPr>
        <w:tc>
          <w:tcPr>
            <w:tcW w:w="1191" w:type="dxa"/>
            <w:vMerge w:val="continue"/>
            <w:tcBorders>
              <w:tl2br w:val="nil"/>
              <w:tr2bl w:val="nil"/>
            </w:tcBorders>
            <w:vAlign w:val="center"/>
          </w:tcPr>
          <w:p>
            <w:pPr>
              <w:widowControl/>
              <w:jc w:val="left"/>
              <w:rPr>
                <w:rFonts w:ascii="仿宋" w:hAnsi="仿宋" w:eastAsia="仿宋" w:cs="仿宋"/>
                <w:b/>
                <w:bCs/>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b/>
                <w:bCs/>
                <w:color w:val="000000"/>
                <w:kern w:val="0"/>
                <w:sz w:val="24"/>
                <w:szCs w:val="24"/>
              </w:rPr>
            </w:pPr>
          </w:p>
        </w:tc>
        <w:tc>
          <w:tcPr>
            <w:tcW w:w="7387" w:type="dxa"/>
            <w:vMerge w:val="continue"/>
            <w:tcBorders>
              <w:tl2br w:val="nil"/>
              <w:tr2bl w:val="nil"/>
            </w:tcBorders>
            <w:vAlign w:val="center"/>
          </w:tcPr>
          <w:p>
            <w:pPr>
              <w:widowControl/>
              <w:jc w:val="left"/>
              <w:rPr>
                <w:rFonts w:ascii="仿宋" w:hAnsi="仿宋" w:eastAsia="仿宋" w:cs="仿宋"/>
                <w:b/>
                <w:bCs/>
                <w:color w:val="000000"/>
                <w:kern w:val="0"/>
                <w:sz w:val="24"/>
                <w:szCs w:val="24"/>
              </w:rPr>
            </w:pPr>
          </w:p>
        </w:tc>
        <w:tc>
          <w:tcPr>
            <w:tcW w:w="1442" w:type="dxa"/>
            <w:vMerge w:val="continue"/>
            <w:tcBorders>
              <w:tl2br w:val="nil"/>
              <w:tr2bl w:val="nil"/>
            </w:tcBorders>
            <w:shd w:val="clear" w:color="auto" w:fill="auto"/>
            <w:vAlign w:val="center"/>
          </w:tcPr>
          <w:p>
            <w:pPr>
              <w:widowControl/>
              <w:jc w:val="center"/>
              <w:rPr>
                <w:rFonts w:ascii="仿宋" w:hAnsi="仿宋" w:eastAsia="仿宋" w:cs="仿宋"/>
                <w:b/>
                <w:bCs/>
                <w:color w:val="000000"/>
                <w:kern w:val="0"/>
                <w:sz w:val="24"/>
                <w:szCs w:val="24"/>
              </w:rPr>
            </w:pPr>
          </w:p>
        </w:tc>
        <w:tc>
          <w:tcPr>
            <w:tcW w:w="717" w:type="dxa"/>
            <w:tcBorders>
              <w:tl2br w:val="nil"/>
              <w:tr2bl w:val="nil"/>
            </w:tcBorders>
            <w:shd w:val="clear" w:color="auto" w:fill="auto"/>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符合</w:t>
            </w:r>
          </w:p>
        </w:tc>
        <w:tc>
          <w:tcPr>
            <w:tcW w:w="1000" w:type="dxa"/>
            <w:tcBorders>
              <w:tl2br w:val="nil"/>
              <w:tr2bl w:val="nil"/>
            </w:tcBorders>
            <w:shd w:val="clear" w:color="auto" w:fill="auto"/>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不符合</w:t>
            </w:r>
          </w:p>
        </w:tc>
        <w:tc>
          <w:tcPr>
            <w:tcW w:w="966" w:type="dxa"/>
            <w:tcBorders>
              <w:tl2br w:val="nil"/>
              <w:tr2bl w:val="nil"/>
            </w:tcBorders>
            <w:shd w:val="clear" w:color="auto" w:fill="auto"/>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不适用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1.采购管理</w:t>
            </w: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1.1采购</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1.1.1采购、使用取得许可生产（含设计、制造、安装、改造、修理），并且经检验合格的特种设备；</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查看资料</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1.1.2不得采购超过设计使用年限的特种设备；</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查看资料</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1.1.3禁止使用国家明令淘汰的特种设备；</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查看资料</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1.1.4禁止使用报废的特种设备。</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1.2使用登记</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1.2.1投入使用前或者投入使用后三十日内应办理使用登记，取得使用登记证书；</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查看使用登记证</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1.2.2流动作业的特种设备，向产权单位所在地的登记机关申请办理使用登记；</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查看资料</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1.2.3特种设备改造、移装、变更使用单位或者使用单位更名、达到设计使用年限继续使用的应当办理变更登记；</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查看使用登记证</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1.2.4使用登记标志应当置于该特种设备的显著位置。</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查看标志</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2.使用管理</w:t>
            </w: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2.1定期检验</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2.1.1定期检验报告在检验有效期内；</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报告是否在有效期内</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2.1.2定期检验完成后应组织进行特种设备管路连接、密封、附件（含零部件、安全附件、安全保护装置、仪器仪表等）和内件安装、试运行等工作；</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55"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2.1.3检验结论为合格时应按照检验结论确定的参数使用特种设备；</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2.1.4在用特种设备的安全阀或压力表等安全附件、安全保护装置应委托有资质单位进行定期检验（检定、校准）、检修。</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查看资料</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85"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2.2建立特种设备安全技术档案</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2.2.1建立特种设备台账；</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查看台账</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25"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2.2.2逐台建立特种设备安全技术档案；</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查看档案</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2.2.3安全技术档案：</w:t>
            </w:r>
            <w:r>
              <w:rPr>
                <w:rFonts w:hint="eastAsia" w:ascii="仿宋" w:hAnsi="仿宋" w:eastAsia="仿宋" w:cs="仿宋"/>
                <w:color w:val="000000"/>
                <w:kern w:val="0"/>
                <w:sz w:val="24"/>
                <w:szCs w:val="24"/>
              </w:rPr>
              <w:br w:type="page"/>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(1)使用登记证；</w:t>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page"/>
            </w:r>
            <w:r>
              <w:rPr>
                <w:rFonts w:hint="eastAsia" w:ascii="仿宋" w:hAnsi="仿宋" w:eastAsia="仿宋" w:cs="仿宋"/>
                <w:color w:val="000000"/>
                <w:kern w:val="0"/>
                <w:sz w:val="24"/>
                <w:szCs w:val="24"/>
              </w:rPr>
              <w:t>(2)《特种设备使用登记表》；</w:t>
            </w:r>
            <w:r>
              <w:rPr>
                <w:rFonts w:hint="eastAsia" w:ascii="仿宋" w:hAnsi="仿宋" w:eastAsia="仿宋" w:cs="仿宋"/>
                <w:color w:val="000000"/>
                <w:kern w:val="0"/>
                <w:sz w:val="24"/>
                <w:szCs w:val="24"/>
              </w:rPr>
              <w:br w:type="page"/>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(3)特种设备设计、制造技术资料和文件，包括设计文件、产品质量合格证明(含合格证及其数据表、质量证明书)、安装及使用维护保养说明、监督检验证书、型式试验证书等；</w:t>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page"/>
            </w:r>
            <w:r>
              <w:rPr>
                <w:rFonts w:hint="eastAsia" w:ascii="仿宋" w:hAnsi="仿宋" w:eastAsia="仿宋" w:cs="仿宋"/>
                <w:color w:val="000000"/>
                <w:kern w:val="0"/>
                <w:sz w:val="24"/>
                <w:szCs w:val="24"/>
              </w:rPr>
              <w:t>(4)特种设备安装、改造和修理的方案、图样、材料质量证明书和施工质量证明文件、安装改造修理监督检验报告、验收报告等技术资料；</w:t>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page"/>
            </w:r>
            <w:r>
              <w:rPr>
                <w:rFonts w:hint="eastAsia" w:ascii="仿宋" w:hAnsi="仿宋" w:eastAsia="仿宋" w:cs="仿宋"/>
                <w:color w:val="000000"/>
                <w:kern w:val="0"/>
                <w:sz w:val="24"/>
                <w:szCs w:val="24"/>
              </w:rPr>
              <w:t>(5)特种设备定期自行检查记录(报告)和定期检验报告；</w:t>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page"/>
            </w:r>
            <w:r>
              <w:rPr>
                <w:rFonts w:hint="eastAsia" w:ascii="仿宋" w:hAnsi="仿宋" w:eastAsia="仿宋" w:cs="仿宋"/>
                <w:color w:val="000000"/>
                <w:kern w:val="0"/>
                <w:sz w:val="24"/>
                <w:szCs w:val="24"/>
              </w:rPr>
              <w:t>(6)特种设备日常使用状况记录；</w:t>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page"/>
            </w:r>
            <w:r>
              <w:rPr>
                <w:rFonts w:hint="eastAsia" w:ascii="仿宋" w:hAnsi="仿宋" w:eastAsia="仿宋" w:cs="仿宋"/>
                <w:color w:val="000000"/>
                <w:kern w:val="0"/>
                <w:sz w:val="24"/>
                <w:szCs w:val="24"/>
              </w:rPr>
              <w:t>(7)特种设备及其附属仪器仪表维护保养记录；</w:t>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page"/>
            </w:r>
            <w:r>
              <w:rPr>
                <w:rFonts w:hint="eastAsia" w:ascii="仿宋" w:hAnsi="仿宋" w:eastAsia="仿宋" w:cs="仿宋"/>
                <w:color w:val="000000"/>
                <w:kern w:val="0"/>
                <w:sz w:val="24"/>
                <w:szCs w:val="24"/>
              </w:rPr>
              <w:t>(8)特种设备安全附件和安全保护装置校验、检修、更换记录和有关报告；</w:t>
            </w:r>
          </w:p>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page"/>
            </w:r>
            <w:r>
              <w:rPr>
                <w:rFonts w:hint="eastAsia" w:ascii="仿宋" w:hAnsi="仿宋" w:eastAsia="仿宋" w:cs="仿宋"/>
                <w:color w:val="000000"/>
                <w:kern w:val="0"/>
                <w:sz w:val="24"/>
                <w:szCs w:val="24"/>
              </w:rPr>
              <w:t>(9)特种设备运行故障和事故记录及事故处理报告。</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查看档案</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2.3维护保养</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2.3.1对特种设备进行经常性维护保养；</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查看维护保养记录</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2.3.2对发现的异常情况及时处理，并且作出记录；</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查看记录</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2.3.3法律对维护保养单位有专门资质要求的应当选择具有相应资质的单位实施维护保养。</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查看资料</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2.4安全检查</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2.4.1对在用特种设备至少每月进行一次自行检查，并作出记录；</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查看记录</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2.4.2对在用特种设备进行自行检查和日常维护保养时发现异常情况的，应当及时处理；</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查看记录</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2.4.3对在用特种设备的安全附件、安全保护装置、测量调控装置及有关附属仪器仪表进行定期校验、检修，并作出记录；</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查看记录</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2.4.4对特种设备作业人员作业情况进行检查，及时纠正违章作业行为。</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2.5安全标识</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2.5.1设置安全使用说明、安全注意事项和安全警示标志。</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3.人员管理</w:t>
            </w: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3.1配备特种设备作业人员</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3.1.1配备相应持证的特种设备作业人员；</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查看证书</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3.1.2特种设备使用时应保证每班至少有一名持证的作业人员在岗。</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3.2教育培训</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3.2.1安全管理负责人、专职安全管理员应取得相应的特种设备安全管理人员资格证书；</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查看证书</w:t>
            </w:r>
          </w:p>
        </w:tc>
        <w:tc>
          <w:tcPr>
            <w:tcW w:w="717" w:type="dxa"/>
            <w:tcBorders>
              <w:tl2br w:val="nil"/>
              <w:tr2bl w:val="nil"/>
            </w:tcBorders>
            <w:shd w:val="clear" w:color="auto" w:fill="auto"/>
            <w:vAlign w:val="center"/>
          </w:tcPr>
          <w:p>
            <w:pPr>
              <w:widowControl/>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25"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3.2.2特种设备作业人员应取得相应的特种设备作业人员资格证书；</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查看证书</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95"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3.2.3应对特种设备作业人员进行特种设备安全教育和培训。</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查看教育培训记录</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720" w:hRule="atLeast"/>
        </w:trPr>
        <w:tc>
          <w:tcPr>
            <w:tcW w:w="1191"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4.应急管理</w:t>
            </w:r>
          </w:p>
        </w:tc>
        <w:tc>
          <w:tcPr>
            <w:tcW w:w="146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4.1应急预案</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4.1.1应当制定特种设备事故应急专项预案，应急预案每年至少演练一次，并且作出记录。</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查看预案及演练记录</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0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4.2应急处置</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4.2.1发生特种设备事故时，根据应急预案，立即采取应急措施，组织抢救；</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查看材料</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65"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4.2.2及时向特种设备安全监管部门和有关部门报告；</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查看材料</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5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4.2.3配合事故调查和做好善后处理；</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查看材料</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4.2.4发生自然灾害危及特种设备安全时，应当立即疏散、撤离有关人员，采取防止危害扩大的必要措施，同时向特种设备安全监管部门和有关部门报告。</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查看材料</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5.停用报废管理</w:t>
            </w: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5.1停用</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5.1.1特种设备拟停用1年以上的，应当采取有效的保护措施，并且设置停用标志，在停用后30日内填写《特种设备停用报废注销登记表》，告知登记机关；</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925"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5.1.2重新启用时，应当进行自行检查，到使用登记机关办理启用手续；超过定期检验有效期的，应当按照定期检验的有关要求进行检验。</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查看检验报告</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111"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5.2报废</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5.2.1对存在严重事故隐患，无改造、修理价值的特种设备，或者达到安全技术规范规定的报废期限的，应当及时予以报废，产权单位应当采取必要措施消除该特种设备的使用功能。</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80" w:hRule="atLeast"/>
        </w:trPr>
        <w:tc>
          <w:tcPr>
            <w:tcW w:w="1191"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6.其他要求</w:t>
            </w: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6.1锅炉</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6.1.1配备节能管理人员；</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6.1.2锅炉以及以水为介质产生蒸汽的压力容器的使用单位，做好锅炉水(介)质、压力容器水质的处理和监测工作，保证水(介)质质量符合相关要求；</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查看水质检验报告</w:t>
            </w:r>
          </w:p>
        </w:tc>
        <w:tc>
          <w:tcPr>
            <w:tcW w:w="71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6.1.3建立节能技术档案。包括锅炉能效测试报告、高耗能特种设备节能改造技术资料等。</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查看档案</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6.2起重机械</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6.2.1制定安全操作规程，并在周边醒目位置张贴警示标识，有必要的防护措施；</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6.2.2起重设备声光报警正常，室内起重设备要标有运行通道。</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试验声光报警器</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6.3压力容器</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6.3.1压力容器实行使用登记制度，应及时填写“使用登记表”。</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查看资料</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restart"/>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6.4电梯</w:t>
            </w: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6.4.1电梯的日常维护保养必须由取得许可的安装、改造、维修单位或者电梯制造单位进行。电梯应当至少每15日进行一次清洁、润滑、调整和检查；</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查看维保记录</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6.4.2电梯运营使用单位应当将安全使用说明、安全注意事项和安全警示标志置于易于引起乘客注意的位置；</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1460" w:type="dxa"/>
            <w:vMerge w:val="continue"/>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6.4.3在电梯显著位置标明应急救援电话、维保单位名称及维修、投诉电话；</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查看现场</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80" w:hRule="atLeast"/>
        </w:trPr>
        <w:tc>
          <w:tcPr>
            <w:tcW w:w="1191"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1460" w:type="dxa"/>
            <w:vMerge w:val="continue"/>
            <w:tcBorders>
              <w:tl2br w:val="nil"/>
              <w:tr2bl w:val="nil"/>
            </w:tcBorders>
            <w:vAlign w:val="center"/>
          </w:tcPr>
          <w:p>
            <w:pPr>
              <w:widowControl/>
              <w:jc w:val="left"/>
              <w:rPr>
                <w:rFonts w:ascii="仿宋" w:hAnsi="仿宋" w:eastAsia="仿宋" w:cs="仿宋"/>
                <w:color w:val="000000"/>
                <w:kern w:val="0"/>
                <w:sz w:val="24"/>
                <w:szCs w:val="24"/>
              </w:rPr>
            </w:pPr>
          </w:p>
        </w:tc>
        <w:tc>
          <w:tcPr>
            <w:tcW w:w="7387" w:type="dxa"/>
            <w:tcBorders>
              <w:tl2br w:val="nil"/>
              <w:tr2bl w:val="nil"/>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6.4.4电梯安全管理人员每天必须对所管辖的电梯进行日常巡视，发现问题及时处理。</w:t>
            </w:r>
          </w:p>
        </w:tc>
        <w:tc>
          <w:tcPr>
            <w:tcW w:w="1442"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查看检查记录</w:t>
            </w:r>
          </w:p>
        </w:tc>
        <w:tc>
          <w:tcPr>
            <w:tcW w:w="717"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00"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66" w:type="dxa"/>
            <w:tcBorders>
              <w:tl2br w:val="nil"/>
              <w:tr2bl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r>
        <w:rPr>
          <w:rFonts w:ascii="黑体" w:hAnsi="黑体" w:eastAsia="黑体" w:cs="黑体"/>
          <w:sz w:val="44"/>
          <w:szCs w:val="44"/>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微软雅黑">
    <w:altName w:val="汉仪旗黑KW"/>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Apple Color Emoji">
    <w:panose1 w:val="00000000000000000000"/>
    <w:charset w:val="00"/>
    <w:family w:val="auto"/>
    <w:pitch w:val="default"/>
    <w:sig w:usb0="00000003" w:usb1="18000000" w:usb2="14000000" w:usb3="00000000" w:csb0="00000001" w:csb1="00000000"/>
  </w:font>
  <w:font w:name="汉仪旗黑KW">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6FDA33F"/>
    <w:rsid w:val="96FDA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2020-12-23T10:21:00Z</dcterms:created>
  <dc:creator>shitan</dc:creator>
  <cp:lastModifiedBy>shitan</cp:lastModifiedBy>
  <dcterms:modified xsi:type="dcterms:W3CDTF">2020-12-23T10:32:46Z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