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24"/>
        <w:jc w:val="center"/>
        <w:rPr>
          <w:rFonts w:ascii="宋体" w:hAnsi="宋体"/>
          <w:b/>
          <w:sz w:val="44"/>
          <w:szCs w:val="30"/>
        </w:rPr>
      </w:pPr>
      <w:bookmarkStart w:id="0" w:name="_GoBack"/>
      <w:r>
        <w:rPr>
          <w:rFonts w:hint="eastAsia" w:ascii="宋体" w:hAnsi="宋体"/>
          <w:b/>
          <w:sz w:val="44"/>
          <w:szCs w:val="30"/>
        </w:rPr>
        <w:t>东北大学宿舍</w:t>
      </w:r>
      <w:r>
        <w:rPr>
          <w:rFonts w:ascii="宋体" w:hAnsi="宋体"/>
          <w:b/>
          <w:sz w:val="44"/>
          <w:szCs w:val="30"/>
        </w:rPr>
        <w:t>安全检查</w:t>
      </w:r>
      <w:r>
        <w:rPr>
          <w:rFonts w:hint="eastAsia" w:ascii="宋体" w:hAnsi="宋体"/>
          <w:b/>
          <w:sz w:val="44"/>
          <w:szCs w:val="30"/>
        </w:rPr>
        <w:t>规范</w:t>
      </w:r>
      <w:bookmarkEnd w:id="0"/>
    </w:p>
    <w:tbl>
      <w:tblPr>
        <w:tblStyle w:val="5"/>
        <w:tblW w:w="144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35"/>
        <w:gridCol w:w="1418"/>
        <w:gridCol w:w="7938"/>
        <w:gridCol w:w="2693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0" w:hRule="atLeast"/>
          <w:tblHeader/>
        </w:trPr>
        <w:tc>
          <w:tcPr>
            <w:tcW w:w="11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93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检查要点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5" w:hRule="atLeast"/>
          <w:tblHeader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符合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不符合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1.安全责任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1.1机构人员配备</w:t>
            </w:r>
          </w:p>
        </w:tc>
        <w:tc>
          <w:tcPr>
            <w:tcW w:w="7938" w:type="dxa"/>
            <w:vAlign w:val="center"/>
          </w:tcPr>
          <w:p>
            <w:pPr>
              <w:pStyle w:val="3"/>
              <w:widowControl/>
              <w:spacing w:beforeAutospacing="0" w:afterAutospacing="0"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1.1.1设立或明确负责学校宿舍安全工作的机构，配备专职管理人员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1.1.2做好新员工上岗培训和老员工岗位轮训，要求熟记各项规章制度、岗位职责、操作流程和应急预案，牢记工作重点，掌握工作方法和技巧。对消防安全、治安安全、水电气安全、操作安全须重点培训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1.1.3管理员、值班员、维修员做好工作日志或交接班记录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1.1.4各项登记和记录齐全（入住和退宿登记，各项检查记录以及访客、维修、晚间出入、钥匙借用登记记录）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1.2制度建设</w:t>
            </w: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1.2.1各类管理制度齐全（宿舍管理条例、宿舍安全管理规定、日常管理与服务制度、安全责任考核奖惩制度、员工守则等）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1.文件是否长期未修订更新、陈旧过时；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2.文件是否过于简单粗糙、流于形式，缺乏可操作性或实际管理效用。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1.2.2办公室人员、管理员、值班员、保洁员等主要岗位职责明确并上墙公布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1.2.3办理入住和退宿手续流程、接待服务标准、保洁服务流程与标准、夜间巡查流程等有专门的操作流程文本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2.安全管理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2.1消防安全</w:t>
            </w: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2.1.1楼道畅通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2.1.2应急疏散标识、指示灯完好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2.1.3消防门正常启闭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2.1.4规范设立消防疏散示意图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2.1.5消防器材完好，消防设备正常工作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2.1.6消防器材维保记录完整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2.1.7工作人员掌握必备消防知识，知晓发生火情后的处置程序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2.1.8工作人员能够正确使用灭火器、消火栓等消防器材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2.1.9楼内公区无违规用电、私拉乱接现象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2.1.10楼内公区无存放易燃气体、易燃液体现象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2.1.11各工作间规范管理，按规定配置消防器材，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2.1.12各工作间无堆放杂物现象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2.1.13建立室内安全检查制度，节假日、假期前开展学生宿舍专项安全检查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2.2治安安全</w:t>
            </w: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2.2.1建立二十四小时值班、巡逻制度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查看资料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2.2.2访客规范管理、证件规范登记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2.2.3物品进出规范管理，台帐齐全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2.2.4技防设施（电子门禁、监控系统、电子围栏、周界报警等）正常工作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现场查看、查看资料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2.2.5技防设施维保记录完整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6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2.2.6住宿人员信息齐全，定期核对（其中：本科生每学期1次以上，研究生每学期2次以上）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现场查看、查看资料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2.2.7无私自租、借、换床位情况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2.2.8宿舍内严禁存放管制刀具或其他违禁物品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3.环境卫生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3.1学生寝室</w:t>
            </w: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3.1.1寝室干净、整洁，无明显异味，有值日生制度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3.1.2生活用品、床上用品、衣服、鞋子以及书籍摆放整齐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3.2公共区域</w:t>
            </w: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3.2.1功能用房（共享空间、公共区域和盥洗室、浴室、洗衣房、开水房等）管理有序，管理责任落实到人，照片名单上墙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3.2.2物品摆放到位，定时整理打扫，保持整洁美观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3.2.3保洁工具区分用途，明确标识，摆放规范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3.2.4进出通道畅通，引导标识清晰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3.2.5非机动车停放有序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3.2.6无乱张贴现象</w:t>
            </w:r>
          </w:p>
        </w:tc>
        <w:tc>
          <w:tcPr>
            <w:tcW w:w="26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4.风险控制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4.1警示标识</w:t>
            </w: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4.1.1危险处规范张贴警示标识，临时作业规范设置警示标牌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查看标识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4.1.2特殊气候提醒通告，节假日、假期及时安全提醒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4.1.3针对其它特殊时段、特殊部位建立安全提示标识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查看标识</w:t>
            </w: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2" w:hRule="atLeast"/>
        </w:trPr>
        <w:tc>
          <w:tcPr>
            <w:tcW w:w="11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4.2应急预案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4.2.1结合宿舍安全管理实际，制定且有效实施应急事件处置预案（水电气故障、治安事件、群体性事件、公共卫生、心理干预、灾害性天气等）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针对各种应急事件有相应的应急预案或风险防控方案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A4465"/>
    <w:rsid w:val="677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2020-12-23T10:17:00Z</dcterms:created>
  <dc:creator>shitan</dc:creator>
  <cp:lastModifiedBy>shitan</cp:lastModifiedBy>
  <dcterms:modified xsi:type="dcterms:W3CDTF">2020-12-23T10:32:23Z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